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3B" w:rsidRDefault="00490D3B">
      <w:pPr>
        <w:widowControl w:val="0"/>
        <w:pBdr>
          <w:top w:val="nil"/>
          <w:left w:val="nil"/>
          <w:bottom w:val="nil"/>
          <w:right w:val="nil"/>
          <w:between w:val="nil"/>
        </w:pBdr>
        <w:spacing w:after="0"/>
      </w:pPr>
      <w:bookmarkStart w:id="0" w:name="_GoBack"/>
      <w:bookmarkEnd w:id="0"/>
    </w:p>
    <w:p w:rsidR="00490D3B" w:rsidRDefault="00490D3B">
      <w:pPr>
        <w:widowControl w:val="0"/>
        <w:pBdr>
          <w:top w:val="nil"/>
          <w:left w:val="nil"/>
          <w:bottom w:val="nil"/>
          <w:right w:val="nil"/>
          <w:between w:val="nil"/>
        </w:pBdr>
        <w:spacing w:after="0"/>
        <w:rPr>
          <w:rFonts w:ascii="Arial" w:eastAsia="Arial" w:hAnsi="Arial" w:cs="Arial"/>
          <w:color w:val="000000"/>
        </w:rPr>
      </w:pPr>
    </w:p>
    <w:tbl>
      <w:tblPr>
        <w:tblStyle w:val="a"/>
        <w:tblW w:w="10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3"/>
        <w:gridCol w:w="236"/>
      </w:tblGrid>
      <w:tr w:rsidR="00490D3B">
        <w:tc>
          <w:tcPr>
            <w:tcW w:w="10469" w:type="dxa"/>
            <w:gridSpan w:val="2"/>
          </w:tcPr>
          <w:p w:rsidR="00490D3B" w:rsidRDefault="005E1FF8">
            <w:pPr>
              <w:spacing w:before="120"/>
              <w:jc w:val="center"/>
              <w:rPr>
                <w:b/>
                <w:sz w:val="24"/>
                <w:szCs w:val="24"/>
              </w:rPr>
            </w:pPr>
            <w:r>
              <w:rPr>
                <w:b/>
                <w:sz w:val="24"/>
                <w:szCs w:val="24"/>
              </w:rPr>
              <w:t>RELATÓRIO DE AVALIAÇÃO DE DISCIPLINAS</w:t>
            </w:r>
          </w:p>
          <w:p w:rsidR="00490D3B" w:rsidRDefault="005E1FF8">
            <w:pPr>
              <w:jc w:val="right"/>
            </w:pPr>
            <w:r>
              <w:t>ANO</w:t>
            </w:r>
            <w:proofErr w:type="gramStart"/>
            <w:r>
              <w:t xml:space="preserve">  </w:t>
            </w:r>
            <w:proofErr w:type="gramEn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v:imagedata r:id="rId9" o:title=""/>
                </v:shape>
              </w:pict>
            </w:r>
          </w:p>
        </w:tc>
      </w:tr>
      <w:tr w:rsidR="00490D3B">
        <w:tc>
          <w:tcPr>
            <w:tcW w:w="10469" w:type="dxa"/>
            <w:gridSpan w:val="2"/>
          </w:tcPr>
          <w:p w:rsidR="00490D3B" w:rsidRDefault="005E1FF8">
            <w:pPr>
              <w:spacing w:before="120"/>
            </w:pPr>
            <w:r>
              <w:t>BACHARELADO INTERDISCIPLINAR</w:t>
            </w:r>
          </w:p>
          <w:p w:rsidR="00490D3B" w:rsidRDefault="005E1FF8">
            <w:pPr>
              <w:jc w:val="center"/>
            </w:pPr>
            <w:r>
              <w:pict>
                <v:shape id="_x0000_i1026" type="#_x0000_t75" style="width:54pt;height:21pt">
                  <v:imagedata r:id="rId10" o:title=""/>
                </v:shape>
              </w:pict>
            </w:r>
            <w:r>
              <w:pict>
                <v:shape id="_x0000_i1027" type="#_x0000_t75" style="width:54pt;height:21pt">
                  <v:imagedata r:id="rId11" o:title=""/>
                </v:shape>
              </w:pict>
            </w:r>
          </w:p>
        </w:tc>
      </w:tr>
      <w:tr w:rsidR="00490D3B">
        <w:tc>
          <w:tcPr>
            <w:tcW w:w="10469" w:type="dxa"/>
            <w:gridSpan w:val="2"/>
          </w:tcPr>
          <w:p w:rsidR="00490D3B" w:rsidRDefault="005E1FF8">
            <w:pPr>
              <w:spacing w:before="120"/>
            </w:pPr>
            <w:r>
              <w:t>LICENCIATURA INTERDISCIPLINAR</w:t>
            </w:r>
          </w:p>
          <w:p w:rsidR="00490D3B" w:rsidRDefault="005E1FF8">
            <w:pPr>
              <w:jc w:val="center"/>
            </w:pPr>
            <w:r>
              <w:pict>
                <v:shape id="_x0000_i1028" type="#_x0000_t75" style="width:54pt;height:21pt">
                  <v:imagedata r:id="rId12" o:title=""/>
                </v:shape>
              </w:pict>
            </w:r>
            <w:r>
              <w:pict>
                <v:shape id="_x0000_i1029" type="#_x0000_t75" style="width:54pt;height:21pt">
                  <v:imagedata r:id="rId13" o:title=""/>
                </v:shape>
              </w:pict>
            </w:r>
          </w:p>
        </w:tc>
      </w:tr>
      <w:tr w:rsidR="00490D3B">
        <w:tc>
          <w:tcPr>
            <w:tcW w:w="10469" w:type="dxa"/>
            <w:gridSpan w:val="2"/>
            <w:tcBorders>
              <w:bottom w:val="single" w:sz="4" w:space="0" w:color="000000"/>
            </w:tcBorders>
          </w:tcPr>
          <w:p w:rsidR="00490D3B" w:rsidRDefault="005E1FF8">
            <w:r>
              <w:t>CENTRO</w:t>
            </w:r>
          </w:p>
          <w:p w:rsidR="00490D3B" w:rsidRDefault="005E1FF8">
            <w:pPr>
              <w:jc w:val="center"/>
            </w:pPr>
            <w:r>
              <w:pict>
                <v:shape id="_x0000_i1030" type="#_x0000_t75" style="width:55.5pt;height:21pt">
                  <v:imagedata r:id="rId14" o:title=""/>
                </v:shape>
              </w:pict>
            </w:r>
            <w:r>
              <w:pict>
                <v:shape id="_x0000_i1031" type="#_x0000_t75" style="width:54pt;height:21pt">
                  <v:imagedata r:id="rId15" o:title=""/>
                </v:shape>
              </w:pict>
            </w:r>
            <w:r>
              <w:pict>
                <v:shape id="_x0000_i1032" type="#_x0000_t75" style="width:54pt;height:21pt">
                  <v:imagedata r:id="rId16" o:title=""/>
                </v:shape>
              </w:pict>
            </w:r>
          </w:p>
        </w:tc>
      </w:tr>
      <w:tr w:rsidR="00490D3B">
        <w:tc>
          <w:tcPr>
            <w:tcW w:w="10469" w:type="dxa"/>
            <w:gridSpan w:val="2"/>
            <w:tcBorders>
              <w:bottom w:val="nil"/>
            </w:tcBorders>
          </w:tcPr>
          <w:p w:rsidR="00490D3B" w:rsidRDefault="005E1FF8">
            <w:pPr>
              <w:spacing w:before="120"/>
            </w:pPr>
            <w:r>
              <w:t>CURSO</w:t>
            </w:r>
          </w:p>
          <w:p w:rsidR="00490D3B" w:rsidRDefault="00490D3B">
            <w:pPr>
              <w:rPr>
                <w:sz w:val="16"/>
                <w:szCs w:val="16"/>
              </w:rPr>
            </w:pPr>
          </w:p>
        </w:tc>
      </w:tr>
      <w:tr w:rsidR="00490D3B">
        <w:tc>
          <w:tcPr>
            <w:tcW w:w="10247" w:type="dxa"/>
            <w:tcBorders>
              <w:top w:val="nil"/>
              <w:bottom w:val="single" w:sz="4" w:space="0" w:color="000000"/>
              <w:right w:val="nil"/>
            </w:tcBorders>
          </w:tcPr>
          <w:p w:rsidR="00490D3B" w:rsidRDefault="00490D3B">
            <w:pPr>
              <w:widowControl w:val="0"/>
              <w:pBdr>
                <w:top w:val="nil"/>
                <w:left w:val="nil"/>
                <w:bottom w:val="nil"/>
                <w:right w:val="nil"/>
                <w:between w:val="nil"/>
              </w:pBdr>
              <w:spacing w:line="276" w:lineRule="auto"/>
              <w:rPr>
                <w:sz w:val="16"/>
                <w:szCs w:val="16"/>
              </w:rPr>
            </w:pPr>
          </w:p>
          <w:tbl>
            <w:tblPr>
              <w:tblStyle w:val="a0"/>
              <w:tblW w:w="100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28"/>
              <w:gridCol w:w="5103"/>
            </w:tblGrid>
            <w:tr w:rsidR="00490D3B">
              <w:tc>
                <w:tcPr>
                  <w:tcW w:w="4928" w:type="dxa"/>
                </w:tcPr>
                <w:p w:rsidR="00490D3B" w:rsidRDefault="005E1FF8">
                  <w:r>
                    <w:pict>
                      <v:shape id="_x0000_i1033" type="#_x0000_t75" style="width:187.5pt;height:20.25pt">
                        <v:imagedata r:id="rId17" o:title=""/>
                      </v:shape>
                    </w:pict>
                  </w:r>
                  <w:r>
                    <w:pict>
                      <v:shape id="_x0000_i1034" type="#_x0000_t75" style="width:187.5pt;height:20.25pt">
                        <v:imagedata r:id="rId18" o:title=""/>
                      </v:shape>
                    </w:pict>
                  </w:r>
                  <w:r>
                    <w:pict>
                      <v:shape id="_x0000_i1035" type="#_x0000_t75" style="width:216.75pt;height:20.25pt">
                        <v:imagedata r:id="rId19" o:title=""/>
                      </v:shape>
                    </w:pict>
                  </w:r>
                  <w:r>
                    <w:pict>
                      <v:shape id="_x0000_i1036" type="#_x0000_t75" style="width:216.75pt;height:20.25pt">
                        <v:imagedata r:id="rId20" o:title=""/>
                      </v:shape>
                    </w:pict>
                  </w:r>
                  <w:r>
                    <w:pict>
                      <v:shape id="_x0000_i1037" type="#_x0000_t75" style="width:216.75pt;height:20.25pt">
                        <v:imagedata r:id="rId21" o:title=""/>
                      </v:shape>
                    </w:pict>
                  </w:r>
                  <w:r>
                    <w:pict>
                      <v:shape id="_x0000_i1038" type="#_x0000_t75" style="width:216.75pt;height:20.25pt">
                        <v:imagedata r:id="rId22" o:title=""/>
                      </v:shape>
                    </w:pict>
                  </w:r>
                  <w:r>
                    <w:pict>
                      <v:shape id="_x0000_i1039" type="#_x0000_t75" style="width:216.75pt;height:20.25pt">
                        <v:imagedata r:id="rId23" o:title=""/>
                      </v:shape>
                    </w:pict>
                  </w:r>
                  <w:r>
                    <w:pict>
                      <v:shape id="_x0000_i1040" type="#_x0000_t75" style="width:216.75pt;height:20.25pt">
                        <v:imagedata r:id="rId24" o:title=""/>
                      </v:shape>
                    </w:pict>
                  </w:r>
                  <w:r>
                    <w:pict>
                      <v:shape id="_x0000_i1041" type="#_x0000_t75" style="width:216.75pt;height:20.25pt">
                        <v:imagedata r:id="rId25" o:title=""/>
                      </v:shape>
                    </w:pict>
                  </w:r>
                  <w:r>
                    <w:pict>
                      <v:shape id="_x0000_i1042" type="#_x0000_t75" style="width:216.75pt;height:20.25pt">
                        <v:imagedata r:id="rId26" o:title=""/>
                      </v:shape>
                    </w:pict>
                  </w:r>
                  <w:r>
                    <w:pict>
                      <v:shape id="_x0000_i1043" type="#_x0000_t75" style="width:216.75pt;height:20.25pt">
                        <v:imagedata r:id="rId27" o:title=""/>
                      </v:shape>
                    </w:pict>
                  </w:r>
                </w:p>
                <w:p w:rsidR="00490D3B" w:rsidRDefault="005E1FF8">
                  <w:r>
                    <w:pict>
                      <v:shape id="_x0000_i1044" type="#_x0000_t75" style="width:216.75pt;height:20.25pt">
                        <v:imagedata r:id="rId28" o:title=""/>
                      </v:shape>
                    </w:pict>
                  </w:r>
                </w:p>
              </w:tc>
              <w:tc>
                <w:tcPr>
                  <w:tcW w:w="5103" w:type="dxa"/>
                </w:tcPr>
                <w:p w:rsidR="00490D3B" w:rsidRDefault="005E1FF8">
                  <w:r>
                    <w:pict>
                      <v:shape id="_x0000_i1045" type="#_x0000_t75" style="width:216.75pt;height:20.25pt">
                        <v:imagedata r:id="rId29" o:title=""/>
                      </v:shape>
                    </w:pict>
                  </w:r>
                </w:p>
                <w:p w:rsidR="00490D3B" w:rsidRDefault="005E1FF8">
                  <w:r>
                    <w:pict>
                      <v:shape id="_x0000_i1046" type="#_x0000_t75" style="width:216.75pt;height:20.25pt">
                        <v:imagedata r:id="rId30" o:title=""/>
                      </v:shape>
                    </w:pict>
                  </w:r>
                  <w:r>
                    <w:pict>
                      <v:shape id="_x0000_i1047" type="#_x0000_t75" style="width:216.75pt;height:20.25pt">
                        <v:imagedata r:id="rId31" o:title=""/>
                      </v:shape>
                    </w:pict>
                  </w:r>
                  <w:r>
                    <w:pict>
                      <v:shape id="_x0000_i1048" type="#_x0000_t75" style="width:216.75pt;height:20.25pt">
                        <v:imagedata r:id="rId32" o:title=""/>
                      </v:shape>
                    </w:pict>
                  </w:r>
                  <w:r>
                    <w:pict>
                      <v:shape id="_x0000_i1049" type="#_x0000_t75" style="width:216.75pt;height:20.25pt">
                        <v:imagedata r:id="rId33" o:title=""/>
                      </v:shape>
                    </w:pict>
                  </w:r>
                  <w:r>
                    <w:pict>
                      <v:shape id="_x0000_i1050" type="#_x0000_t75" style="width:216.75pt;height:20.25pt">
                        <v:imagedata r:id="rId34" o:title=""/>
                      </v:shape>
                    </w:pict>
                  </w:r>
                  <w:r>
                    <w:pict>
                      <v:shape id="_x0000_i1051" type="#_x0000_t75" style="width:233.25pt;height:20.25pt">
                        <v:imagedata r:id="rId35" o:title=""/>
                      </v:shape>
                    </w:pict>
                  </w:r>
                  <w:r>
                    <w:pict>
                      <v:shape id="_x0000_i1052" type="#_x0000_t75" style="width:216.75pt;height:20.25pt">
                        <v:imagedata r:id="rId36" o:title=""/>
                      </v:shape>
                    </w:pict>
                  </w:r>
                  <w:r>
                    <w:pict>
                      <v:shape id="_x0000_i1053" type="#_x0000_t75" style="width:216.75pt;height:20.25pt">
                        <v:imagedata r:id="rId37" o:title=""/>
                      </v:shape>
                    </w:pict>
                  </w:r>
                  <w:r>
                    <w:pict>
                      <v:shape id="_x0000_i1054" type="#_x0000_t75" style="width:216.75pt;height:20.25pt">
                        <v:imagedata r:id="rId38" o:title=""/>
                      </v:shape>
                    </w:pict>
                  </w:r>
                </w:p>
                <w:p w:rsidR="00490D3B" w:rsidRDefault="005E1FF8">
                  <w:r>
                    <w:rPr>
                      <w:b/>
                    </w:rPr>
                    <w:t xml:space="preserve">  X  </w:t>
                  </w:r>
                  <w:r>
                    <w:t>Licenciatura em Física</w:t>
                  </w:r>
                  <w:r>
                    <w:pict>
                      <v:shape id="_x0000_i1055" type="#_x0000_t75" style="width:216.75pt;height:20.25pt">
                        <v:imagedata r:id="rId39" o:title=""/>
                      </v:shape>
                    </w:pict>
                  </w:r>
                  <w:r>
                    <w:pict>
                      <v:shape id="_x0000_i1056" type="#_x0000_t75" style="width:216.75pt;height:20.25pt">
                        <v:imagedata r:id="rId40" o:title=""/>
                      </v:shape>
                    </w:pict>
                  </w:r>
                </w:p>
              </w:tc>
            </w:tr>
          </w:tbl>
          <w:p w:rsidR="00490D3B" w:rsidRDefault="00490D3B"/>
        </w:tc>
        <w:tc>
          <w:tcPr>
            <w:tcW w:w="222" w:type="dxa"/>
            <w:tcBorders>
              <w:top w:val="nil"/>
              <w:left w:val="nil"/>
              <w:bottom w:val="single" w:sz="4" w:space="0" w:color="000000"/>
            </w:tcBorders>
          </w:tcPr>
          <w:p w:rsidR="00490D3B" w:rsidRDefault="00490D3B"/>
        </w:tc>
      </w:tr>
      <w:tr w:rsidR="00490D3B">
        <w:trPr>
          <w:trHeight w:val="778"/>
        </w:trPr>
        <w:tc>
          <w:tcPr>
            <w:tcW w:w="10469" w:type="dxa"/>
            <w:gridSpan w:val="2"/>
            <w:tcBorders>
              <w:bottom w:val="nil"/>
            </w:tcBorders>
          </w:tcPr>
          <w:p w:rsidR="00490D3B" w:rsidRDefault="005E1FF8">
            <w:pPr>
              <w:numPr>
                <w:ilvl w:val="0"/>
                <w:numId w:val="3"/>
              </w:numPr>
              <w:pBdr>
                <w:top w:val="nil"/>
                <w:left w:val="nil"/>
                <w:bottom w:val="nil"/>
                <w:right w:val="nil"/>
                <w:between w:val="nil"/>
              </w:pBdr>
              <w:spacing w:before="120" w:line="276" w:lineRule="auto"/>
              <w:ind w:left="714" w:hanging="357"/>
            </w:pPr>
            <w:r>
              <w:rPr>
                <w:color w:val="000000"/>
              </w:rPr>
              <w:t>Diagnóstico</w:t>
            </w:r>
          </w:p>
        </w:tc>
      </w:tr>
      <w:tr w:rsidR="00490D3B">
        <w:tc>
          <w:tcPr>
            <w:tcW w:w="10469" w:type="dxa"/>
            <w:gridSpan w:val="2"/>
            <w:tcBorders>
              <w:top w:val="nil"/>
            </w:tcBorders>
          </w:tcPr>
          <w:p w:rsidR="00490D3B" w:rsidRDefault="005E1FF8">
            <w:pPr>
              <w:numPr>
                <w:ilvl w:val="1"/>
                <w:numId w:val="3"/>
              </w:numPr>
              <w:pBdr>
                <w:top w:val="nil"/>
                <w:left w:val="nil"/>
                <w:bottom w:val="nil"/>
                <w:right w:val="nil"/>
                <w:between w:val="nil"/>
              </w:pBdr>
              <w:spacing w:line="276" w:lineRule="auto"/>
            </w:pPr>
            <w:r>
              <w:rPr>
                <w:color w:val="000000"/>
              </w:rPr>
              <w:t>Metodologia e critérios da análise</w:t>
            </w:r>
          </w:p>
          <w:p w:rsidR="00490D3B" w:rsidRDefault="005E1FF8">
            <w:pPr>
              <w:numPr>
                <w:ilvl w:val="1"/>
                <w:numId w:val="3"/>
              </w:numPr>
              <w:spacing w:before="120" w:line="276" w:lineRule="auto"/>
            </w:pPr>
            <w:r>
              <w:t>Análise dos conceitos atribuídos aos itens da avaliação das disciplinas e levantamento de possíveis causas dos resultados obtidos, relativamente ao ano referência.</w:t>
            </w:r>
          </w:p>
          <w:p w:rsidR="00490D3B" w:rsidRDefault="005E1FF8">
            <w:pPr>
              <w:numPr>
                <w:ilvl w:val="1"/>
                <w:numId w:val="3"/>
              </w:numPr>
              <w:spacing w:before="120" w:line="276" w:lineRule="auto"/>
            </w:pPr>
            <w:r>
              <w:t>Análise comparativa entre os dados do ano referência e avaliações anteriores, destacando o resultado das ações já adotadas e indicando aquelas a serem colocadas em execução.</w:t>
            </w:r>
          </w:p>
          <w:p w:rsidR="00490D3B" w:rsidRDefault="00490D3B">
            <w:pPr>
              <w:spacing w:before="120" w:line="276" w:lineRule="auto"/>
              <w:ind w:left="720"/>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lastRenderedPageBreak/>
              <w:t>A avaliação contida no presente relatório (referente às disciplinas ministradas e</w:t>
            </w:r>
            <w:r>
              <w:rPr>
                <w:rFonts w:ascii="Arial" w:eastAsia="Arial" w:hAnsi="Arial" w:cs="Arial"/>
                <w:sz w:val="24"/>
                <w:szCs w:val="24"/>
              </w:rPr>
              <w:t>m 2019) será realizada em comparativo ao relatório enviado em 2019 (referente às disciplinas ministradas em 2018). Nesse sentido, cabe ressaltar que dois pontos influenciam tal análise, a saber:</w:t>
            </w:r>
          </w:p>
          <w:p w:rsidR="00490D3B" w:rsidRDefault="005E1FF8">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No ano de 2019 a nota foi modificada e o espectro vai de 0 at</w:t>
            </w:r>
            <w:r>
              <w:rPr>
                <w:rFonts w:ascii="Arial" w:eastAsia="Arial" w:hAnsi="Arial" w:cs="Arial"/>
                <w:sz w:val="24"/>
                <w:szCs w:val="24"/>
              </w:rPr>
              <w:t>é 4, enquanto no ano 2018 o espectro foi de 0 até 5. Nesse sentido, para além de outros elementos que foram retirados da avaliação, reconhece-se que os resultados não podem ser considerados diretamente em termos comparativos. Para sanar tal problema, o gru</w:t>
            </w:r>
            <w:r>
              <w:rPr>
                <w:rFonts w:ascii="Arial" w:eastAsia="Arial" w:hAnsi="Arial" w:cs="Arial"/>
                <w:sz w:val="24"/>
                <w:szCs w:val="24"/>
              </w:rPr>
              <w:t>po de Ensino de Física optou por fazer uma análise ampla e qualitativa, quando possível, trazendo dados que poderiam subsidiar a análise apresentada nesse relatório.</w:t>
            </w:r>
          </w:p>
          <w:p w:rsidR="00490D3B" w:rsidRDefault="005E1FF8">
            <w:pPr>
              <w:numPr>
                <w:ilvl w:val="0"/>
                <w:numId w:val="2"/>
              </w:numPr>
              <w:spacing w:after="200" w:line="276" w:lineRule="auto"/>
              <w:jc w:val="both"/>
              <w:rPr>
                <w:rFonts w:ascii="Arial" w:eastAsia="Arial" w:hAnsi="Arial" w:cs="Arial"/>
                <w:sz w:val="24"/>
                <w:szCs w:val="24"/>
              </w:rPr>
            </w:pPr>
            <w:r>
              <w:rPr>
                <w:rFonts w:ascii="Arial" w:eastAsia="Arial" w:hAnsi="Arial" w:cs="Arial"/>
                <w:sz w:val="24"/>
                <w:szCs w:val="24"/>
              </w:rPr>
              <w:t xml:space="preserve">Outro fator determinante para a análise refere-se a ausência de comentários dos alunos em </w:t>
            </w:r>
            <w:r>
              <w:rPr>
                <w:rFonts w:ascii="Arial" w:eastAsia="Arial" w:hAnsi="Arial" w:cs="Arial"/>
                <w:sz w:val="24"/>
                <w:szCs w:val="24"/>
              </w:rPr>
              <w:t xml:space="preserve">muitas disciplinas. Tal situação prejudicou a análise, principalmente, no que tange ao aprofundamento de resultados obscuros em termos de notas díspares que foram observados nas avaliações. </w:t>
            </w:r>
          </w:p>
          <w:p w:rsidR="00490D3B" w:rsidRDefault="00490D3B">
            <w:pPr>
              <w:pBdr>
                <w:top w:val="nil"/>
                <w:left w:val="nil"/>
                <w:bottom w:val="nil"/>
                <w:right w:val="nil"/>
                <w:between w:val="nil"/>
              </w:pBdr>
              <w:spacing w:after="200" w:line="276" w:lineRule="auto"/>
              <w:ind w:left="720"/>
              <w:rPr>
                <w:color w:val="000000"/>
              </w:rPr>
            </w:pPr>
          </w:p>
        </w:tc>
      </w:tr>
    </w:tbl>
    <w:p w:rsidR="00490D3B" w:rsidRDefault="00490D3B"/>
    <w:tbl>
      <w:tblPr>
        <w:tblStyle w:val="a1"/>
        <w:tblW w:w="105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5595"/>
      </w:tblGrid>
      <w:tr w:rsidR="00490D3B">
        <w:trPr>
          <w:trHeight w:val="1096"/>
        </w:trPr>
        <w:tc>
          <w:tcPr>
            <w:tcW w:w="10545" w:type="dxa"/>
            <w:gridSpan w:val="2"/>
            <w:tcBorders>
              <w:bottom w:val="nil"/>
            </w:tcBorders>
          </w:tcPr>
          <w:p w:rsidR="00490D3B" w:rsidRDefault="00490D3B">
            <w:pPr>
              <w:numPr>
                <w:ilvl w:val="1"/>
                <w:numId w:val="3"/>
              </w:numPr>
              <w:spacing w:before="120" w:line="276" w:lineRule="auto"/>
            </w:pPr>
          </w:p>
          <w:p w:rsidR="00490D3B" w:rsidRDefault="00490D3B">
            <w:pPr>
              <w:spacing w:after="200" w:line="276" w:lineRule="auto"/>
              <w:jc w:val="both"/>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A avaliação de 2019 dos docentes da Licenciatura em Física que atuam no próprio curso e/ou em outras disciplinas de responsabilidade do CCNH, indica que os dados são mantidos em relação ao relatório de 2018. Ou seja, mostra boa representatividade acerca da</w:t>
            </w:r>
            <w:r>
              <w:rPr>
                <w:rFonts w:ascii="Arial" w:eastAsia="Arial" w:hAnsi="Arial" w:cs="Arial"/>
                <w:sz w:val="24"/>
                <w:szCs w:val="24"/>
              </w:rPr>
              <w:t xml:space="preserve"> atuação acadêmica no que tange tanto os aspectos conceituais como metodológicos. No quesito avaliação reconhece-se que os profissionais desse grupo atuam de modo coerente com suas propostas didático-pedagógicas, assim como, são condizentes com os planos d</w:t>
            </w:r>
            <w:r>
              <w:rPr>
                <w:rFonts w:ascii="Arial" w:eastAsia="Arial" w:hAnsi="Arial" w:cs="Arial"/>
                <w:sz w:val="24"/>
                <w:szCs w:val="24"/>
              </w:rPr>
              <w:t xml:space="preserve">e ensino apresentados.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 xml:space="preserve">No que se refere ao Projeto Pedagógico do curso, observa-se que os estudantes o reconhece com boa representatividade, visto que para os 23 respondentes, as notas A e B aparecem em todos os quesitos (entre valores percentuais médios </w:t>
            </w:r>
            <w:r>
              <w:rPr>
                <w:rFonts w:ascii="Arial" w:eastAsia="Arial" w:hAnsi="Arial" w:cs="Arial"/>
                <w:sz w:val="24"/>
                <w:szCs w:val="24"/>
              </w:rPr>
              <w:t>de 65% à 75% das respostas). Contudo, cabe ressaltar que alguns comentários dos estudantes apontam para reflexões que podem ser debatidas de modo mais profundo pelo grupo diante dos desafios indicados nas avaliações. A primeira demanda refere-se ao Estágio</w:t>
            </w:r>
            <w:r>
              <w:rPr>
                <w:rFonts w:ascii="Arial" w:eastAsia="Arial" w:hAnsi="Arial" w:cs="Arial"/>
                <w:sz w:val="24"/>
                <w:szCs w:val="24"/>
              </w:rPr>
              <w:t xml:space="preserve"> Supervisionado</w:t>
            </w:r>
            <w:r>
              <w:rPr>
                <w:rFonts w:ascii="Arial" w:eastAsia="Arial" w:hAnsi="Arial" w:cs="Arial"/>
                <w:b/>
                <w:sz w:val="24"/>
                <w:szCs w:val="24"/>
              </w:rPr>
              <w:t xml:space="preserve"> </w:t>
            </w:r>
            <w:r>
              <w:rPr>
                <w:rFonts w:ascii="Arial" w:eastAsia="Arial" w:hAnsi="Arial" w:cs="Arial"/>
                <w:sz w:val="24"/>
                <w:szCs w:val="24"/>
              </w:rPr>
              <w:t>oferecido no segundo quadrimestre, que pode ser repensado no contexto da produção da revisão do PPC pelo NDE</w:t>
            </w:r>
            <w:r>
              <w:rPr>
                <w:rFonts w:ascii="Arial" w:eastAsia="Arial" w:hAnsi="Arial" w:cs="Arial"/>
                <w:sz w:val="24"/>
                <w:szCs w:val="24"/>
                <w:vertAlign w:val="superscript"/>
              </w:rPr>
              <w:footnoteReference w:id="1"/>
            </w:r>
            <w:r>
              <w:rPr>
                <w:rFonts w:ascii="Arial" w:eastAsia="Arial" w:hAnsi="Arial" w:cs="Arial"/>
                <w:sz w:val="24"/>
                <w:szCs w:val="24"/>
              </w:rPr>
              <w:t xml:space="preserve"> e a elaboração da oferta que pode ser pensando em parceria com a Pró-Reitoria de Graduação. Conforme demanda dos alunos:</w:t>
            </w:r>
          </w:p>
          <w:p w:rsidR="00490D3B" w:rsidRDefault="005E1FF8">
            <w:pPr>
              <w:spacing w:after="200" w:line="276" w:lineRule="auto"/>
              <w:ind w:left="1571"/>
              <w:jc w:val="both"/>
              <w:rPr>
                <w:rFonts w:ascii="Arial" w:eastAsia="Arial" w:hAnsi="Arial" w:cs="Arial"/>
                <w:sz w:val="24"/>
                <w:szCs w:val="24"/>
              </w:rPr>
            </w:pPr>
            <w:r>
              <w:rPr>
                <w:rFonts w:ascii="Arial" w:eastAsia="Arial" w:hAnsi="Arial" w:cs="Arial"/>
                <w:sz w:val="24"/>
                <w:szCs w:val="24"/>
              </w:rPr>
              <w:t>Creio que</w:t>
            </w:r>
            <w:r>
              <w:rPr>
                <w:rFonts w:ascii="Arial" w:eastAsia="Arial" w:hAnsi="Arial" w:cs="Arial"/>
                <w:sz w:val="24"/>
                <w:szCs w:val="24"/>
              </w:rPr>
              <w:t xml:space="preserve"> deveria existir maior foco na Física Moderna e Relatividade. O estágio </w:t>
            </w:r>
            <w:r>
              <w:rPr>
                <w:rFonts w:ascii="Arial" w:eastAsia="Arial" w:hAnsi="Arial" w:cs="Arial"/>
                <w:sz w:val="24"/>
                <w:szCs w:val="24"/>
              </w:rPr>
              <w:lastRenderedPageBreak/>
              <w:t>supervisionado do segundo quadrimestre não funciona (Aluno 1)</w:t>
            </w:r>
          </w:p>
          <w:p w:rsidR="00490D3B" w:rsidRDefault="005E1FF8">
            <w:pPr>
              <w:spacing w:after="200" w:line="276" w:lineRule="auto"/>
              <w:ind w:left="1571"/>
              <w:jc w:val="both"/>
              <w:rPr>
                <w:rFonts w:ascii="Arial" w:eastAsia="Arial" w:hAnsi="Arial" w:cs="Arial"/>
                <w:sz w:val="24"/>
                <w:szCs w:val="24"/>
              </w:rPr>
            </w:pPr>
            <w:r>
              <w:rPr>
                <w:rFonts w:ascii="Arial" w:eastAsia="Arial" w:hAnsi="Arial" w:cs="Arial"/>
                <w:sz w:val="24"/>
                <w:szCs w:val="24"/>
              </w:rPr>
              <w:t>Várias vezes a oferta de disciplinas da licenciatura entrou em conflito com a oferta das disciplinas do bacharelado. Os cu</w:t>
            </w:r>
            <w:r>
              <w:rPr>
                <w:rFonts w:ascii="Arial" w:eastAsia="Arial" w:hAnsi="Arial" w:cs="Arial"/>
                <w:sz w:val="24"/>
                <w:szCs w:val="24"/>
              </w:rPr>
              <w:t xml:space="preserve">rsos precisam se conversar, tem uma galera que faz os 2 cursos, é necessário haver coerência entre eles. Quanto às disciplinas de física pura dentro da licenciatura, elas são muito superficiais. Não estou dizendo que deveria ter o mesmo aprofundamento que </w:t>
            </w:r>
            <w:r>
              <w:rPr>
                <w:rFonts w:ascii="Arial" w:eastAsia="Arial" w:hAnsi="Arial" w:cs="Arial"/>
                <w:sz w:val="24"/>
                <w:szCs w:val="24"/>
              </w:rPr>
              <w:t>vemos no bacharelado, mas é preciso ser menos superficial, o licenciando em física está saindo do curso sem saber física direito. (Aluno 2)</w:t>
            </w:r>
          </w:p>
          <w:p w:rsidR="00490D3B" w:rsidRDefault="005E1FF8">
            <w:pPr>
              <w:spacing w:after="200" w:line="276" w:lineRule="auto"/>
              <w:jc w:val="both"/>
            </w:pPr>
            <w:r>
              <w:rPr>
                <w:rFonts w:ascii="Arial" w:eastAsia="Arial" w:hAnsi="Arial" w:cs="Arial"/>
                <w:sz w:val="24"/>
                <w:szCs w:val="24"/>
              </w:rPr>
              <w:t>O grupo de Ensino da Física, em reunião ordinária da Coordenação e do Núcleo estruturante do curso no dia 15 de Abri</w:t>
            </w:r>
            <w:r>
              <w:rPr>
                <w:rFonts w:ascii="Arial" w:eastAsia="Arial" w:hAnsi="Arial" w:cs="Arial"/>
                <w:sz w:val="24"/>
                <w:szCs w:val="24"/>
              </w:rPr>
              <w:t>l de 2020, discutiu as demandas apontadas. A partir de uma reflexão do grupo reconhece-se que há outras dimensões estruturais e administrativas que precisam participar de tal debate, como o encaminhamento das ofertas de disciplinas com o Bacharelado em Fís</w:t>
            </w:r>
            <w:r>
              <w:rPr>
                <w:rFonts w:ascii="Arial" w:eastAsia="Arial" w:hAnsi="Arial" w:cs="Arial"/>
                <w:sz w:val="24"/>
                <w:szCs w:val="24"/>
              </w:rPr>
              <w:t xml:space="preserve">ica, assim, reconhecendo um esforço conjunto desses dois cursos para contemplar tanto o aluno do cursos de bacharelado como os da Licenciatura em Física. No que tange aos conteúdos acerca da Física Moderna e Contemporânea, o grupo apontou a necessidade de </w:t>
            </w:r>
            <w:r>
              <w:rPr>
                <w:rFonts w:ascii="Arial" w:eastAsia="Arial" w:hAnsi="Arial" w:cs="Arial"/>
                <w:sz w:val="24"/>
                <w:szCs w:val="24"/>
              </w:rPr>
              <w:t>reflexão dos estudantes sobre as especificidades do curso de licenciatura, reconhecendo que o mesmo não é uma versão pedagógica ou metodológica dos bacharelados, mas sim um espaço de articulação entre os saberes específicos e suas dimensões, também, histór</w:t>
            </w:r>
            <w:r>
              <w:rPr>
                <w:rFonts w:ascii="Arial" w:eastAsia="Arial" w:hAnsi="Arial" w:cs="Arial"/>
                <w:sz w:val="24"/>
                <w:szCs w:val="24"/>
              </w:rPr>
              <w:t>ica, filosófica, sociológica, cultural e  educacional. Nesse sentido o grupo aponta que as propostas das disciplinas estão de acordo com as demandas de documentos oficiais e das produções acadêmicas da área de ensino de Física. Por fim, no que se refere ao</w:t>
            </w:r>
            <w:r>
              <w:rPr>
                <w:rFonts w:ascii="Arial" w:eastAsia="Arial" w:hAnsi="Arial" w:cs="Arial"/>
                <w:sz w:val="24"/>
                <w:szCs w:val="24"/>
              </w:rPr>
              <w:t xml:space="preserve"> Estágio Supervisionado oferecido no segundo quadrimestre, o grupo aponta que a natureza da proposta se relaciona ao primeiro contato do aluno com a escola e que, assim, não comprometendo sobremaneira a ida do aluno para observações na escola. Contudo, rec</w:t>
            </w:r>
            <w:r>
              <w:rPr>
                <w:rFonts w:ascii="Arial" w:eastAsia="Arial" w:hAnsi="Arial" w:cs="Arial"/>
                <w:sz w:val="24"/>
                <w:szCs w:val="24"/>
              </w:rPr>
              <w:t>onhece que para estudantes que estão em situação de atraso em seu curso, tal situação pode desfavorecer sua participação efetiva na proposta. O grupo decidiu discutir com mais profundidade tal situação e posteriormente chegar a uma conclusão mais detalhada</w:t>
            </w:r>
            <w:r>
              <w:rPr>
                <w:rFonts w:ascii="Arial" w:eastAsia="Arial" w:hAnsi="Arial" w:cs="Arial"/>
                <w:sz w:val="24"/>
                <w:szCs w:val="24"/>
              </w:rPr>
              <w:t xml:space="preserve"> do tema.</w:t>
            </w:r>
          </w:p>
        </w:tc>
      </w:tr>
      <w:tr w:rsidR="00490D3B">
        <w:trPr>
          <w:trHeight w:val="1239"/>
        </w:trPr>
        <w:tc>
          <w:tcPr>
            <w:tcW w:w="4950" w:type="dxa"/>
            <w:tcBorders>
              <w:top w:val="nil"/>
              <w:right w:val="nil"/>
            </w:tcBorders>
          </w:tcPr>
          <w:p w:rsidR="00490D3B" w:rsidRDefault="00490D3B">
            <w:pPr>
              <w:pBdr>
                <w:top w:val="nil"/>
                <w:left w:val="nil"/>
                <w:bottom w:val="nil"/>
                <w:right w:val="nil"/>
                <w:between w:val="nil"/>
              </w:pBdr>
              <w:spacing w:after="200" w:line="276" w:lineRule="auto"/>
              <w:rPr>
                <w:color w:val="000000"/>
              </w:rPr>
            </w:pPr>
          </w:p>
        </w:tc>
        <w:tc>
          <w:tcPr>
            <w:tcW w:w="5595" w:type="dxa"/>
            <w:tcBorders>
              <w:top w:val="nil"/>
              <w:left w:val="nil"/>
            </w:tcBorders>
          </w:tcPr>
          <w:p w:rsidR="00490D3B" w:rsidRDefault="00490D3B">
            <w:pPr>
              <w:pBdr>
                <w:top w:val="nil"/>
                <w:left w:val="nil"/>
                <w:bottom w:val="nil"/>
                <w:right w:val="nil"/>
                <w:between w:val="nil"/>
              </w:pBdr>
              <w:spacing w:line="276" w:lineRule="auto"/>
              <w:ind w:left="720"/>
              <w:rPr>
                <w:color w:val="000000"/>
              </w:rPr>
            </w:pPr>
          </w:p>
          <w:p w:rsidR="00490D3B" w:rsidRDefault="00490D3B">
            <w:pPr>
              <w:pBdr>
                <w:top w:val="nil"/>
                <w:left w:val="nil"/>
                <w:bottom w:val="nil"/>
                <w:right w:val="nil"/>
                <w:between w:val="nil"/>
              </w:pBdr>
              <w:spacing w:after="200" w:line="276" w:lineRule="auto"/>
              <w:ind w:left="720"/>
              <w:rPr>
                <w:color w:val="000000"/>
              </w:rPr>
            </w:pPr>
          </w:p>
        </w:tc>
      </w:tr>
      <w:tr w:rsidR="00490D3B">
        <w:tc>
          <w:tcPr>
            <w:tcW w:w="10545" w:type="dxa"/>
            <w:gridSpan w:val="2"/>
            <w:tcBorders>
              <w:bottom w:val="nil"/>
            </w:tcBorders>
          </w:tcPr>
          <w:p w:rsidR="00490D3B" w:rsidRDefault="005E1FF8">
            <w:pPr>
              <w:numPr>
                <w:ilvl w:val="0"/>
                <w:numId w:val="3"/>
              </w:numPr>
              <w:pBdr>
                <w:top w:val="nil"/>
                <w:left w:val="nil"/>
                <w:bottom w:val="nil"/>
                <w:right w:val="nil"/>
                <w:between w:val="nil"/>
              </w:pBdr>
              <w:spacing w:before="120" w:line="276" w:lineRule="auto"/>
            </w:pPr>
            <w:r>
              <w:rPr>
                <w:color w:val="000000"/>
              </w:rPr>
              <w:t>Análise Consolidada</w:t>
            </w:r>
          </w:p>
          <w:p w:rsidR="00490D3B" w:rsidRDefault="00490D3B">
            <w:pPr>
              <w:pBdr>
                <w:top w:val="nil"/>
                <w:left w:val="nil"/>
                <w:bottom w:val="nil"/>
                <w:right w:val="nil"/>
                <w:between w:val="nil"/>
              </w:pBdr>
              <w:spacing w:line="276" w:lineRule="auto"/>
              <w:ind w:left="720"/>
              <w:rPr>
                <w:color w:val="000000"/>
              </w:rPr>
            </w:pPr>
          </w:p>
          <w:p w:rsidR="00490D3B" w:rsidRDefault="005E1FF8">
            <w:pPr>
              <w:numPr>
                <w:ilvl w:val="1"/>
                <w:numId w:val="3"/>
              </w:numPr>
              <w:pBdr>
                <w:top w:val="nil"/>
                <w:left w:val="nil"/>
                <w:bottom w:val="nil"/>
                <w:right w:val="nil"/>
                <w:between w:val="nil"/>
              </w:pBdr>
              <w:spacing w:line="276" w:lineRule="auto"/>
              <w:ind w:left="714" w:hanging="357"/>
            </w:pPr>
            <w:r>
              <w:rPr>
                <w:color w:val="000000"/>
              </w:rPr>
              <w:t xml:space="preserve">Análise dos resultados do curso e implicações para o projeto pedagógico. </w:t>
            </w:r>
          </w:p>
          <w:p w:rsidR="00490D3B" w:rsidRDefault="00490D3B">
            <w:pPr>
              <w:pBdr>
                <w:top w:val="nil"/>
                <w:left w:val="nil"/>
                <w:bottom w:val="nil"/>
                <w:right w:val="nil"/>
                <w:between w:val="nil"/>
              </w:pBdr>
              <w:spacing w:after="200" w:line="276" w:lineRule="auto"/>
              <w:ind w:left="720"/>
              <w:rPr>
                <w:color w:val="000000"/>
              </w:rPr>
            </w:pPr>
          </w:p>
        </w:tc>
      </w:tr>
      <w:tr w:rsidR="00490D3B">
        <w:trPr>
          <w:trHeight w:val="1066"/>
        </w:trPr>
        <w:tc>
          <w:tcPr>
            <w:tcW w:w="10545" w:type="dxa"/>
            <w:gridSpan w:val="2"/>
            <w:tcBorders>
              <w:bottom w:val="nil"/>
            </w:tcBorders>
          </w:tcPr>
          <w:p w:rsidR="00490D3B" w:rsidRDefault="005E1FF8">
            <w:pPr>
              <w:numPr>
                <w:ilvl w:val="1"/>
                <w:numId w:val="3"/>
              </w:numPr>
              <w:pBdr>
                <w:top w:val="nil"/>
                <w:left w:val="nil"/>
                <w:bottom w:val="nil"/>
                <w:right w:val="nil"/>
                <w:between w:val="nil"/>
              </w:pBdr>
              <w:spacing w:before="120" w:line="276" w:lineRule="auto"/>
              <w:ind w:left="714" w:hanging="357"/>
            </w:pPr>
            <w:r>
              <w:rPr>
                <w:color w:val="000000"/>
              </w:rPr>
              <w:lastRenderedPageBreak/>
              <w:t>Análise dos resultados do ENADE considerando o conceito obtido e a avaliação das questões apresentadas aos estudantes, bem como a relação destas com o conteúdo das disciplinas do curso, quando aplicável.</w:t>
            </w:r>
          </w:p>
        </w:tc>
      </w:tr>
      <w:tr w:rsidR="00490D3B">
        <w:tc>
          <w:tcPr>
            <w:tcW w:w="10545" w:type="dxa"/>
            <w:gridSpan w:val="2"/>
            <w:tcBorders>
              <w:bottom w:val="nil"/>
            </w:tcBorders>
          </w:tcPr>
          <w:p w:rsidR="00490D3B" w:rsidRDefault="005E1FF8">
            <w:pPr>
              <w:numPr>
                <w:ilvl w:val="1"/>
                <w:numId w:val="3"/>
              </w:numPr>
              <w:pBdr>
                <w:top w:val="nil"/>
                <w:left w:val="nil"/>
                <w:bottom w:val="nil"/>
                <w:right w:val="nil"/>
                <w:between w:val="nil"/>
              </w:pBdr>
              <w:spacing w:before="120" w:line="276" w:lineRule="auto"/>
              <w:ind w:left="714" w:hanging="357"/>
            </w:pPr>
            <w:r>
              <w:rPr>
                <w:color w:val="000000"/>
              </w:rPr>
              <w:t>Análise do relatório de reconhecimento ou renovação</w:t>
            </w:r>
            <w:r>
              <w:rPr>
                <w:color w:val="000000"/>
              </w:rPr>
              <w:t xml:space="preserve"> do reconhecimento, incluindo proposta de alterações que visem a atender aos critérios definidos no Instrumento de Avaliação de Cursos de Graduação Presencial e a Distância 1 vigente e aos itens pontuados pelos avaliadores, quando aplicável.</w:t>
            </w:r>
          </w:p>
        </w:tc>
      </w:tr>
      <w:tr w:rsidR="00490D3B">
        <w:trPr>
          <w:trHeight w:val="1387"/>
        </w:trPr>
        <w:tc>
          <w:tcPr>
            <w:tcW w:w="10545" w:type="dxa"/>
            <w:gridSpan w:val="2"/>
            <w:tcBorders>
              <w:bottom w:val="nil"/>
            </w:tcBorders>
          </w:tcPr>
          <w:p w:rsidR="00490D3B" w:rsidRDefault="005E1FF8">
            <w:pPr>
              <w:numPr>
                <w:ilvl w:val="1"/>
                <w:numId w:val="3"/>
              </w:numPr>
              <w:pBdr>
                <w:top w:val="nil"/>
                <w:left w:val="nil"/>
                <w:bottom w:val="nil"/>
                <w:right w:val="nil"/>
                <w:between w:val="nil"/>
              </w:pBdr>
              <w:spacing w:before="120" w:line="276" w:lineRule="auto"/>
            </w:pPr>
            <w:r>
              <w:rPr>
                <w:color w:val="000000"/>
              </w:rPr>
              <w:t>Metodologia e critérios de análise.</w:t>
            </w:r>
          </w:p>
          <w:p w:rsidR="00490D3B" w:rsidRDefault="00490D3B">
            <w:pPr>
              <w:pBdr>
                <w:top w:val="nil"/>
                <w:left w:val="nil"/>
                <w:bottom w:val="nil"/>
                <w:right w:val="nil"/>
                <w:between w:val="nil"/>
              </w:pBdr>
              <w:spacing w:before="120" w:line="276" w:lineRule="auto"/>
            </w:pPr>
          </w:p>
          <w:p w:rsidR="00490D3B" w:rsidRDefault="005E1FF8">
            <w:pPr>
              <w:spacing w:after="200" w:line="276" w:lineRule="auto"/>
              <w:rPr>
                <w:rFonts w:ascii="Arial" w:eastAsia="Arial" w:hAnsi="Arial" w:cs="Arial"/>
                <w:b/>
                <w:sz w:val="24"/>
                <w:szCs w:val="24"/>
              </w:rPr>
            </w:pPr>
            <w:r>
              <w:rPr>
                <w:rFonts w:ascii="Arial" w:eastAsia="Arial" w:hAnsi="Arial" w:cs="Arial"/>
                <w:b/>
                <w:sz w:val="24"/>
                <w:szCs w:val="24"/>
              </w:rPr>
              <w:t>1.1.1. Primeiro Quadrimestre de 2019</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Durante esse quadrimestre 61 estudantes responderam ao questionário referente às disciplinas: Desenvolvimento e Aprendizagem, Mecânica Geral, Práticas de Ensino III, Tecnologias da I</w:t>
            </w:r>
            <w:r>
              <w:rPr>
                <w:rFonts w:ascii="Arial" w:eastAsia="Arial" w:hAnsi="Arial" w:cs="Arial"/>
                <w:sz w:val="24"/>
                <w:szCs w:val="24"/>
              </w:rPr>
              <w:t xml:space="preserve">nformação e Comunicação na Educação, Práticas de Ciências no Ensino Fundamental e Práticas em Libras.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No quesito didática e metodologia, 40% dos docentes receberem o conceito 4; 40% receberam entre 3,5 e 3,99; 10% receberam entre 3 e 3,49; e 10% receberam</w:t>
            </w:r>
            <w:r>
              <w:rPr>
                <w:rFonts w:ascii="Arial" w:eastAsia="Arial" w:hAnsi="Arial" w:cs="Arial"/>
                <w:sz w:val="24"/>
                <w:szCs w:val="24"/>
              </w:rPr>
              <w:t xml:space="preserve"> conceito abaixo de 2,99. Salienta-se que no ano de 2018 as distribuições foram: 85% receberam conceito 5; 8% receberam conceito 4; 3% receberam conceito 3; e 4% receberam conceito 1 e 2. Os resultados de 2019 quando comparados aos de 2018 indicam que não </w:t>
            </w:r>
            <w:r>
              <w:rPr>
                <w:rFonts w:ascii="Arial" w:eastAsia="Arial" w:hAnsi="Arial" w:cs="Arial"/>
                <w:sz w:val="24"/>
                <w:szCs w:val="24"/>
              </w:rPr>
              <w:t>houveram alterações significativas, reconhecendo que a concentração das notas nesse novo questionário fica na faixa de 0 à 4, enquanto no ano de 2018 ficaram na faixa de 0 à 5.</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De modo geral, os estudantes indicam que os docentes atuam de modo coerente ent</w:t>
            </w:r>
            <w:r>
              <w:rPr>
                <w:rFonts w:ascii="Arial" w:eastAsia="Arial" w:hAnsi="Arial" w:cs="Arial"/>
                <w:sz w:val="24"/>
                <w:szCs w:val="24"/>
              </w:rPr>
              <w:t xml:space="preserve">re proposta e metodologia, assim como atuam de modo responsável diante das avaliações propostas. Exemplo disso pode ser visto na trecho da fala do Aluno 3, da disciplina NHT5012 -15: </w:t>
            </w:r>
          </w:p>
          <w:p w:rsidR="00490D3B" w:rsidRDefault="005E1FF8">
            <w:pPr>
              <w:ind w:left="2160"/>
              <w:jc w:val="both"/>
              <w:rPr>
                <w:rFonts w:ascii="Arial" w:eastAsia="Arial" w:hAnsi="Arial" w:cs="Arial"/>
                <w:sz w:val="24"/>
                <w:szCs w:val="24"/>
              </w:rPr>
            </w:pPr>
            <w:r>
              <w:rPr>
                <w:rFonts w:ascii="Arial" w:eastAsia="Arial" w:hAnsi="Arial" w:cs="Arial"/>
                <w:sz w:val="24"/>
                <w:szCs w:val="24"/>
              </w:rPr>
              <w:t xml:space="preserve">O conteúdo trabalhado está coerente, o disposto pelo ementa e atende de </w:t>
            </w:r>
            <w:r>
              <w:rPr>
                <w:rFonts w:ascii="Arial" w:eastAsia="Arial" w:hAnsi="Arial" w:cs="Arial"/>
                <w:sz w:val="24"/>
                <w:szCs w:val="24"/>
              </w:rPr>
              <w:t>forma satisfatória o proposto para a disciplina (…) os métodos utilizado estão bem organizado e coerentes. Foram diversificados e criativos, contado com práticas bem pensadas e com inovação. (Aluno 3)</w:t>
            </w:r>
          </w:p>
          <w:p w:rsidR="00490D3B" w:rsidRDefault="005E1FF8">
            <w:pPr>
              <w:spacing w:before="200" w:after="200" w:line="276" w:lineRule="auto"/>
              <w:jc w:val="both"/>
              <w:rPr>
                <w:rFonts w:ascii="Arial" w:eastAsia="Arial" w:hAnsi="Arial" w:cs="Arial"/>
                <w:sz w:val="24"/>
                <w:szCs w:val="24"/>
              </w:rPr>
            </w:pPr>
            <w:r>
              <w:rPr>
                <w:rFonts w:ascii="Arial" w:eastAsia="Arial" w:hAnsi="Arial" w:cs="Arial"/>
                <w:sz w:val="24"/>
                <w:szCs w:val="24"/>
              </w:rPr>
              <w:t>Diante do exposto, cabe apontar que nas questões</w:t>
            </w:r>
            <w:r>
              <w:rPr>
                <w:rFonts w:ascii="Arial" w:eastAsia="Arial" w:hAnsi="Arial" w:cs="Arial"/>
                <w:sz w:val="24"/>
                <w:szCs w:val="24"/>
                <w:vertAlign w:val="superscript"/>
              </w:rPr>
              <w:footnoteReference w:id="2"/>
            </w:r>
            <w:r>
              <w:rPr>
                <w:rFonts w:ascii="Arial" w:eastAsia="Arial" w:hAnsi="Arial" w:cs="Arial"/>
                <w:sz w:val="24"/>
                <w:szCs w:val="24"/>
              </w:rPr>
              <w:t xml:space="preserve"> Q1, Q2 e Q7 analisadas no relatório são consideradas por apresentarem resultados gerais, tal como indicado no </w:t>
            </w:r>
            <w:r>
              <w:rPr>
                <w:rFonts w:ascii="Arial" w:eastAsia="Arial" w:hAnsi="Arial" w:cs="Arial"/>
                <w:b/>
                <w:sz w:val="24"/>
                <w:szCs w:val="24"/>
              </w:rPr>
              <w:t>Quadro 1</w:t>
            </w:r>
            <w:r>
              <w:rPr>
                <w:rFonts w:ascii="Arial" w:eastAsia="Arial" w:hAnsi="Arial" w:cs="Arial"/>
                <w:sz w:val="24"/>
                <w:szCs w:val="24"/>
              </w:rPr>
              <w:t>.</w:t>
            </w:r>
          </w:p>
          <w:p w:rsidR="00490D3B" w:rsidRDefault="005E1FF8">
            <w:pPr>
              <w:spacing w:after="200" w:line="276" w:lineRule="auto"/>
              <w:jc w:val="center"/>
              <w:rPr>
                <w:rFonts w:ascii="Arial" w:eastAsia="Arial" w:hAnsi="Arial" w:cs="Arial"/>
                <w:sz w:val="24"/>
                <w:szCs w:val="24"/>
              </w:rPr>
            </w:pPr>
            <w:r>
              <w:rPr>
                <w:rFonts w:ascii="Arial" w:eastAsia="Arial" w:hAnsi="Arial" w:cs="Arial"/>
                <w:b/>
                <w:sz w:val="24"/>
                <w:szCs w:val="24"/>
              </w:rPr>
              <w:t>Quadro 1</w:t>
            </w:r>
            <w:r>
              <w:rPr>
                <w:rFonts w:ascii="Arial" w:eastAsia="Arial" w:hAnsi="Arial" w:cs="Arial"/>
                <w:sz w:val="24"/>
                <w:szCs w:val="24"/>
              </w:rPr>
              <w:t>: Médias Gerais das Questões Q1, Q2 e Q7</w:t>
            </w:r>
          </w:p>
          <w:tbl>
            <w:tblPr>
              <w:tblStyle w:val="a2"/>
              <w:tblW w:w="8938"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31"/>
              <w:gridCol w:w="5296"/>
              <w:gridCol w:w="737"/>
              <w:gridCol w:w="737"/>
              <w:gridCol w:w="737"/>
            </w:tblGrid>
            <w:tr w:rsidR="00490D3B">
              <w:trPr>
                <w:trHeight w:val="380"/>
              </w:trPr>
              <w:tc>
                <w:tcPr>
                  <w:tcW w:w="1431" w:type="dxa"/>
                  <w:tcBorders>
                    <w:top w:val="single" w:sz="8" w:space="0" w:color="000000"/>
                    <w:left w:val="single" w:sz="8" w:space="0" w:color="000000"/>
                    <w:bottom w:val="single" w:sz="8"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lastRenderedPageBreak/>
                    <w:t>Sigla</w:t>
                  </w:r>
                </w:p>
              </w:tc>
              <w:tc>
                <w:tcPr>
                  <w:tcW w:w="5296"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ATUAÇÃO DOCENTE ACADÊMICA</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Q1</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Q2</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Q7</w:t>
                  </w:r>
                </w:p>
              </w:tc>
            </w:tr>
            <w:tr w:rsidR="00490D3B">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NHI5001-15</w:t>
                  </w:r>
                </w:p>
              </w:tc>
              <w:tc>
                <w:tcPr>
                  <w:tcW w:w="5296"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Desenvolvimento e Aprendizagem</w:t>
                  </w:r>
                </w:p>
              </w:tc>
              <w:tc>
                <w:tcPr>
                  <w:tcW w:w="737" w:type="dxa"/>
                  <w:tcBorders>
                    <w:top w:val="single" w:sz="4"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3.04</w:t>
                  </w:r>
                </w:p>
              </w:tc>
              <w:tc>
                <w:tcPr>
                  <w:tcW w:w="737" w:type="dxa"/>
                  <w:tcBorders>
                    <w:top w:val="single" w:sz="4"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3.12</w:t>
                  </w:r>
                </w:p>
              </w:tc>
              <w:tc>
                <w:tcPr>
                  <w:tcW w:w="737" w:type="dxa"/>
                  <w:tcBorders>
                    <w:top w:val="single" w:sz="4"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w:t>
                  </w:r>
                </w:p>
              </w:tc>
            </w:tr>
            <w:tr w:rsidR="00490D3B">
              <w:trPr>
                <w:trHeight w:val="75"/>
              </w:trPr>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NHT3037-15</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Mecânica Geral</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3.85</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2.85</w:t>
                  </w:r>
                </w:p>
              </w:tc>
            </w:tr>
            <w:tr w:rsidR="00490D3B">
              <w:trPr>
                <w:trHeight w:val="360"/>
              </w:trPr>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highlight w:val="white"/>
                    </w:rPr>
                  </w:pPr>
                  <w:r>
                    <w:rPr>
                      <w:rFonts w:ascii="Arial" w:eastAsia="Arial" w:hAnsi="Arial" w:cs="Arial"/>
                      <w:sz w:val="24"/>
                      <w:szCs w:val="24"/>
                      <w:highlight w:val="white"/>
                    </w:rPr>
                    <w:t>NHT3091-15</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highlight w:val="white"/>
                    </w:rPr>
                  </w:pPr>
                  <w:r>
                    <w:rPr>
                      <w:rFonts w:ascii="Arial" w:eastAsia="Arial" w:hAnsi="Arial" w:cs="Arial"/>
                      <w:sz w:val="24"/>
                      <w:szCs w:val="24"/>
                      <w:highlight w:val="white"/>
                    </w:rPr>
                    <w:t>Práticas de Ensino de Física III</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4.00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4.00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4.00</w:t>
                  </w:r>
                </w:p>
              </w:tc>
            </w:tr>
            <w:tr w:rsidR="00490D3B">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highlight w:val="white"/>
                    </w:rPr>
                  </w:pPr>
                  <w:r>
                    <w:rPr>
                      <w:rFonts w:ascii="Arial" w:eastAsia="Arial" w:hAnsi="Arial" w:cs="Arial"/>
                      <w:sz w:val="24"/>
                      <w:szCs w:val="24"/>
                      <w:highlight w:val="white"/>
                    </w:rPr>
                    <w:t>NHT3091-15</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highlight w:val="white"/>
                    </w:rPr>
                  </w:pPr>
                  <w:r>
                    <w:rPr>
                      <w:rFonts w:ascii="Arial" w:eastAsia="Arial" w:hAnsi="Arial" w:cs="Arial"/>
                      <w:sz w:val="24"/>
                      <w:szCs w:val="24"/>
                      <w:highlight w:val="white"/>
                    </w:rPr>
                    <w:t>Práticas de Ensino de Física III</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3.50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3.50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4.00</w:t>
                  </w:r>
                </w:p>
              </w:tc>
            </w:tr>
            <w:tr w:rsidR="00490D3B">
              <w:trPr>
                <w:trHeight w:val="360"/>
              </w:trPr>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NHZ5019-15</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Tecnologias da Informação e Comunicação na Educação</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2.00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2.00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3.71</w:t>
                  </w:r>
                </w:p>
              </w:tc>
            </w:tr>
            <w:tr w:rsidR="00490D3B">
              <w:trPr>
                <w:trHeight w:val="300"/>
              </w:trPr>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NHT5012-15</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Práticas de Ciências no Ensino Fundamental</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3.77</w:t>
                  </w:r>
                </w:p>
              </w:tc>
            </w:tr>
            <w:tr w:rsidR="00490D3B">
              <w:trPr>
                <w:trHeight w:val="150"/>
              </w:trPr>
              <w:tc>
                <w:tcPr>
                  <w:tcW w:w="1431"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NHZ5022-18</w:t>
                  </w:r>
                </w:p>
              </w:tc>
              <w:tc>
                <w:tcPr>
                  <w:tcW w:w="529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Práticas em LIBRAS</w:t>
                  </w:r>
                </w:p>
              </w:tc>
              <w:tc>
                <w:tcPr>
                  <w:tcW w:w="7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r>
          </w:tbl>
          <w:p w:rsidR="00490D3B" w:rsidRDefault="00490D3B">
            <w:pPr>
              <w:spacing w:before="200" w:after="200" w:line="276" w:lineRule="auto"/>
              <w:jc w:val="both"/>
              <w:rPr>
                <w:rFonts w:ascii="Arial" w:eastAsia="Arial" w:hAnsi="Arial" w:cs="Arial"/>
                <w:sz w:val="24"/>
                <w:szCs w:val="24"/>
              </w:rPr>
            </w:pPr>
          </w:p>
          <w:p w:rsidR="00490D3B" w:rsidRDefault="005E1FF8">
            <w:pPr>
              <w:spacing w:before="200" w:after="200" w:line="276" w:lineRule="auto"/>
              <w:jc w:val="both"/>
              <w:rPr>
                <w:rFonts w:ascii="Arial" w:eastAsia="Arial" w:hAnsi="Arial" w:cs="Arial"/>
                <w:sz w:val="24"/>
                <w:szCs w:val="24"/>
              </w:rPr>
            </w:pPr>
            <w:r>
              <w:rPr>
                <w:rFonts w:ascii="Arial" w:eastAsia="Arial" w:hAnsi="Arial" w:cs="Arial"/>
                <w:sz w:val="24"/>
                <w:szCs w:val="24"/>
              </w:rPr>
              <w:t>Há certo rigor dos estudantes quanto à sua postura frente às disciplina. Eles apontam com certo grau de coerência a nota dada que dão a si próprios com aquela indicada à disciplina, o que pode denotar clareza dos estudantes frente às críticas e elogios que</w:t>
            </w:r>
            <w:r>
              <w:rPr>
                <w:rFonts w:ascii="Arial" w:eastAsia="Arial" w:hAnsi="Arial" w:cs="Arial"/>
                <w:sz w:val="24"/>
                <w:szCs w:val="24"/>
              </w:rPr>
              <w:t xml:space="preserve"> tecem na avaliação.</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Contudo, algumas críticas o grupo considera que precisam ser mais bem articuladas com o desempenhos dos alunos. Nesse caso, aponta-se uma crítica a avaliação que não permite correlacionar nota do aluno, por exemplo, com suas respostas. Portanto, assim, dan</w:t>
            </w:r>
            <w:r>
              <w:rPr>
                <w:rFonts w:ascii="Arial" w:eastAsia="Arial" w:hAnsi="Arial" w:cs="Arial"/>
                <w:sz w:val="24"/>
                <w:szCs w:val="24"/>
              </w:rPr>
              <w:t>do maior suporte para que os docentes possam compreender com profundidade o que são questionamentos coerentes e o que são discursos, por vezes, de cunho individual estabelecidos nas relações cotidianas do trabalho pedagógico. Por exemplo, em disciplinas co</w:t>
            </w:r>
            <w:r>
              <w:rPr>
                <w:rFonts w:ascii="Arial" w:eastAsia="Arial" w:hAnsi="Arial" w:cs="Arial"/>
                <w:sz w:val="24"/>
                <w:szCs w:val="24"/>
              </w:rPr>
              <w:t xml:space="preserve">m quesitos 4.0, em sua maioria, acabaram indicando demandas de relações que não são possíveis de se avaliar ou resolver pela coordenação, pois não mostram com clareza as deficiências do grupo.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Exemplos desses problemas é indicado abaixo, como a necessidad</w:t>
            </w:r>
            <w:r>
              <w:rPr>
                <w:rFonts w:ascii="Arial" w:eastAsia="Arial" w:hAnsi="Arial" w:cs="Arial"/>
                <w:sz w:val="24"/>
                <w:szCs w:val="24"/>
              </w:rPr>
              <w:t>e de melhorias das práticas do docente, conforme aponta o Aluno 5 da disciplina NHI5001-15:</w:t>
            </w:r>
          </w:p>
          <w:p w:rsidR="00490D3B" w:rsidRDefault="005E1FF8">
            <w:pPr>
              <w:ind w:left="2160"/>
              <w:jc w:val="both"/>
              <w:rPr>
                <w:rFonts w:ascii="Arial" w:eastAsia="Arial" w:hAnsi="Arial" w:cs="Arial"/>
                <w:sz w:val="24"/>
                <w:szCs w:val="24"/>
              </w:rPr>
            </w:pPr>
            <w:r>
              <w:rPr>
                <w:rFonts w:ascii="Arial" w:eastAsia="Arial" w:hAnsi="Arial" w:cs="Arial"/>
                <w:sz w:val="24"/>
                <w:szCs w:val="24"/>
              </w:rPr>
              <w:t>A aplicabilidade da parte teórica não foi passada com clareza, e alguns textos eram superficiais. (Aluno 5)</w:t>
            </w:r>
          </w:p>
          <w:p w:rsidR="00490D3B" w:rsidRDefault="00490D3B">
            <w:pPr>
              <w:ind w:left="2160"/>
              <w:jc w:val="both"/>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A coordenação e o grupo de docentes reconhece o problem</w:t>
            </w:r>
            <w:r>
              <w:rPr>
                <w:rFonts w:ascii="Arial" w:eastAsia="Arial" w:hAnsi="Arial" w:cs="Arial"/>
                <w:sz w:val="24"/>
                <w:szCs w:val="24"/>
              </w:rPr>
              <w:t>a levantado pelo estudante, visto que foi a primeira vez que o docente assumiu a disciplina, portanto, sendo uma experiência relativamente nova, o que demandará ajustes nas próximas ofertas. Como ação dessa coordenação, os resultados da avaliação foram enc</w:t>
            </w:r>
            <w:r>
              <w:rPr>
                <w:rFonts w:ascii="Arial" w:eastAsia="Arial" w:hAnsi="Arial" w:cs="Arial"/>
                <w:sz w:val="24"/>
                <w:szCs w:val="24"/>
              </w:rPr>
              <w:t>aminhados aos docentes, assim como este relatório para as suas aprovações, de forma a tomar ciência do problemas aqui levantados. Cabe salientar, contudo, que esse tipo de espaço de fala precisaria ter outros canais e questionários que levassem a melhor co</w:t>
            </w:r>
            <w:r>
              <w:rPr>
                <w:rFonts w:ascii="Arial" w:eastAsia="Arial" w:hAnsi="Arial" w:cs="Arial"/>
                <w:sz w:val="24"/>
                <w:szCs w:val="24"/>
              </w:rPr>
              <w:t xml:space="preserve">mpreensão do que são "textos superficiais" por estudantes que ainda não possuem aprofundamentos em temas que estão sendo tratados inicialmente pelos estudantes. </w:t>
            </w:r>
          </w:p>
          <w:p w:rsidR="00490D3B" w:rsidRDefault="005E1FF8">
            <w:pPr>
              <w:spacing w:after="200" w:line="276" w:lineRule="auto"/>
              <w:rPr>
                <w:rFonts w:ascii="Arial" w:eastAsia="Arial" w:hAnsi="Arial" w:cs="Arial"/>
                <w:b/>
                <w:sz w:val="24"/>
                <w:szCs w:val="24"/>
              </w:rPr>
            </w:pPr>
            <w:r>
              <w:rPr>
                <w:rFonts w:ascii="Arial" w:eastAsia="Arial" w:hAnsi="Arial" w:cs="Arial"/>
                <w:b/>
                <w:sz w:val="24"/>
                <w:szCs w:val="24"/>
              </w:rPr>
              <w:t>1.1.2. Segundo Quadrimestre de 2019</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lastRenderedPageBreak/>
              <w:t>No segundo quadrimestre responderam ao questionário 152 gr</w:t>
            </w:r>
            <w:r>
              <w:rPr>
                <w:rFonts w:ascii="Arial" w:eastAsia="Arial" w:hAnsi="Arial" w:cs="Arial"/>
                <w:sz w:val="24"/>
                <w:szCs w:val="24"/>
              </w:rPr>
              <w:t>aduandos de 11 disciplinas ministradas pelos docentes da Licenciatura em Física. As disciplinas ofertadas foram;  Didática, Teoria Eletromagnética, Práticas de Ensino de Física I, Evolução da Física, História e Filosofia das Ciências e o Ensino de Ciências</w:t>
            </w:r>
            <w:r>
              <w:rPr>
                <w:rFonts w:ascii="Arial" w:eastAsia="Arial" w:hAnsi="Arial" w:cs="Arial"/>
                <w:sz w:val="24"/>
                <w:szCs w:val="24"/>
              </w:rPr>
              <w:t>, Educação Científica, Sociedade e Cultura e Libras.</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 xml:space="preserve">Os resultados apontam que 9% das disciplinas ministradas por esses docentes possuem conceito 4; 72% são avaliados entre os conceitos 3,5 e 3,99; e  9% está abaixo do conceito 3,4 (com avaliação de 3,2). </w:t>
            </w:r>
            <w:r>
              <w:rPr>
                <w:rFonts w:ascii="Arial" w:eastAsia="Arial" w:hAnsi="Arial" w:cs="Arial"/>
                <w:sz w:val="24"/>
                <w:szCs w:val="24"/>
              </w:rPr>
              <w:t xml:space="preserve">Salienta-se que nos resultados de 2018 foram: 50% dos docentes receberam conceito 5; 15% o conceito 4,; 16% o conceito 3; 7% o conceito 2; 4% o conceito 1; e 8% o conceito 0.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Analisando comparativamente é possível perceber que há indícios de melhorias nas</w:t>
            </w:r>
            <w:r>
              <w:rPr>
                <w:rFonts w:ascii="Arial" w:eastAsia="Arial" w:hAnsi="Arial" w:cs="Arial"/>
                <w:sz w:val="24"/>
                <w:szCs w:val="24"/>
              </w:rPr>
              <w:t xml:space="preserve"> avaliações, visto que poucos são os docentes avaliados com notas nos quesitos didática e coerência metodológica abaixo do conceito 3. Outro elemento a ser destacado na avaliação 2019 refere-se a nota recebida pelo  professor visitante que impactou negativ</w:t>
            </w:r>
            <w:r>
              <w:rPr>
                <w:rFonts w:ascii="Arial" w:eastAsia="Arial" w:hAnsi="Arial" w:cs="Arial"/>
                <w:sz w:val="24"/>
                <w:szCs w:val="24"/>
              </w:rPr>
              <w:t xml:space="preserve">amente a média geral (assim, em 2018 teve-se rendimento abaixo dos docentes permanentes, caso esse que não se repete em 2019).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Cabe ressaltar que os alunos apontam práticas de avaliação que consideram positivas, tal como salienta o Aluno 6 da disciplina N</w:t>
            </w:r>
            <w:r>
              <w:rPr>
                <w:rFonts w:ascii="Arial" w:eastAsia="Arial" w:hAnsi="Arial" w:cs="Arial"/>
                <w:sz w:val="24"/>
                <w:szCs w:val="24"/>
              </w:rPr>
              <w:t>HI5002-15,</w:t>
            </w:r>
          </w:p>
          <w:p w:rsidR="00490D3B" w:rsidRDefault="005E1FF8">
            <w:pPr>
              <w:ind w:left="2160"/>
              <w:jc w:val="both"/>
              <w:rPr>
                <w:rFonts w:ascii="Arial" w:eastAsia="Arial" w:hAnsi="Arial" w:cs="Arial"/>
                <w:color w:val="980000"/>
                <w:sz w:val="24"/>
                <w:szCs w:val="24"/>
              </w:rPr>
            </w:pPr>
            <w:r>
              <w:rPr>
                <w:rFonts w:ascii="Arial" w:eastAsia="Arial" w:hAnsi="Arial" w:cs="Arial"/>
                <w:sz w:val="24"/>
                <w:szCs w:val="24"/>
              </w:rPr>
              <w:t>Muitas atividades com diferentes abordagens para a composição da nota. Ninguém é prejudicado pelo forma da atividade (Aluno 6)</w:t>
            </w:r>
          </w:p>
          <w:p w:rsidR="00490D3B" w:rsidRDefault="005E1FF8">
            <w:pPr>
              <w:spacing w:before="200" w:after="200" w:line="276" w:lineRule="auto"/>
              <w:jc w:val="both"/>
              <w:rPr>
                <w:rFonts w:ascii="Arial" w:eastAsia="Arial" w:hAnsi="Arial" w:cs="Arial"/>
                <w:sz w:val="24"/>
                <w:szCs w:val="24"/>
              </w:rPr>
            </w:pPr>
            <w:r>
              <w:rPr>
                <w:rFonts w:ascii="Arial" w:eastAsia="Arial" w:hAnsi="Arial" w:cs="Arial"/>
                <w:sz w:val="24"/>
                <w:szCs w:val="24"/>
              </w:rPr>
              <w:t>No que a disciplina NHI5015-15, também aparecem aspectos positivos tanto sob o pontos de vista pedagógico do docente q</w:t>
            </w:r>
            <w:r>
              <w:rPr>
                <w:rFonts w:ascii="Arial" w:eastAsia="Arial" w:hAnsi="Arial" w:cs="Arial"/>
                <w:sz w:val="24"/>
                <w:szCs w:val="24"/>
              </w:rPr>
              <w:t>uanto das relações estabelecidas com os alunos. Cabe apontar, a capacidade do docente da disciplina em oferecer material de qualidade aos alunos, complementando sua formação para além do ambiente da sala de aula.  Segundo os Alunos 13 e 16, da disciplina N</w:t>
            </w:r>
            <w:r>
              <w:rPr>
                <w:rFonts w:ascii="Arial" w:eastAsia="Arial" w:hAnsi="Arial" w:cs="Arial"/>
                <w:sz w:val="24"/>
                <w:szCs w:val="24"/>
              </w:rPr>
              <w:t>HI5015-15,</w:t>
            </w:r>
          </w:p>
          <w:p w:rsidR="00490D3B" w:rsidRDefault="005E1FF8">
            <w:pPr>
              <w:spacing w:after="200" w:line="276" w:lineRule="auto"/>
              <w:ind w:left="2160"/>
              <w:jc w:val="both"/>
              <w:rPr>
                <w:rFonts w:ascii="Arial" w:eastAsia="Arial" w:hAnsi="Arial" w:cs="Arial"/>
                <w:sz w:val="24"/>
                <w:szCs w:val="24"/>
              </w:rPr>
            </w:pPr>
            <w:r>
              <w:rPr>
                <w:rFonts w:ascii="Arial" w:eastAsia="Arial" w:hAnsi="Arial" w:cs="Arial"/>
                <w:sz w:val="24"/>
                <w:szCs w:val="24"/>
              </w:rPr>
              <w:t>Uma ótima professora, dando um feedback incrível sobre todos os pontos errados nas avaliações. Gosto bastante desse comprometimento que vejo com menos frequência na UFABC. (Aluno 13)</w:t>
            </w:r>
          </w:p>
          <w:p w:rsidR="00490D3B" w:rsidRDefault="005E1FF8">
            <w:pPr>
              <w:spacing w:after="200" w:line="276" w:lineRule="auto"/>
              <w:ind w:left="2160"/>
              <w:jc w:val="both"/>
              <w:rPr>
                <w:rFonts w:ascii="Arial" w:eastAsia="Arial" w:hAnsi="Arial" w:cs="Arial"/>
                <w:sz w:val="24"/>
                <w:szCs w:val="24"/>
              </w:rPr>
            </w:pPr>
            <w:r>
              <w:rPr>
                <w:rFonts w:ascii="Arial" w:eastAsia="Arial" w:hAnsi="Arial" w:cs="Arial"/>
                <w:sz w:val="24"/>
                <w:szCs w:val="24"/>
              </w:rPr>
              <w:t>Muitos métodos de avaliação, um vídeo e o relatório, seriam ad</w:t>
            </w:r>
            <w:r>
              <w:rPr>
                <w:rFonts w:ascii="Arial" w:eastAsia="Arial" w:hAnsi="Arial" w:cs="Arial"/>
                <w:sz w:val="24"/>
                <w:szCs w:val="24"/>
              </w:rPr>
              <w:t>equados para o quadrimestre. Professora, parabéns pelo trabalho! É visível que você ama o que faz. A disciplina é extremamente puxada, mas é tudo bem explicado desde o primeiro dia e é tudo feito com tanto carinho que dá prazer em fazer as avaliações da di</w:t>
            </w:r>
            <w:r>
              <w:rPr>
                <w:rFonts w:ascii="Arial" w:eastAsia="Arial" w:hAnsi="Arial" w:cs="Arial"/>
                <w:sz w:val="24"/>
                <w:szCs w:val="24"/>
              </w:rPr>
              <w:t>sciplina. Muito obrigada! (Aluno 16)</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lastRenderedPageBreak/>
              <w:t>Diante do exposto, cabe apontar que nas questões</w:t>
            </w:r>
            <w:r>
              <w:rPr>
                <w:rFonts w:ascii="Arial" w:eastAsia="Arial" w:hAnsi="Arial" w:cs="Arial"/>
                <w:sz w:val="24"/>
                <w:szCs w:val="24"/>
                <w:vertAlign w:val="superscript"/>
              </w:rPr>
              <w:footnoteReference w:id="3"/>
            </w:r>
            <w:r>
              <w:rPr>
                <w:rFonts w:ascii="Arial" w:eastAsia="Arial" w:hAnsi="Arial" w:cs="Arial"/>
                <w:sz w:val="24"/>
                <w:szCs w:val="24"/>
              </w:rPr>
              <w:t xml:space="preserve"> Q1, Q2 e Q7 analisadas levam aos resultados mais gerais, tal como indicado no </w:t>
            </w:r>
            <w:r>
              <w:rPr>
                <w:rFonts w:ascii="Arial" w:eastAsia="Arial" w:hAnsi="Arial" w:cs="Arial"/>
                <w:b/>
                <w:sz w:val="24"/>
                <w:szCs w:val="24"/>
              </w:rPr>
              <w:t>Quadro 2</w:t>
            </w:r>
            <w:r>
              <w:rPr>
                <w:rFonts w:ascii="Arial" w:eastAsia="Arial" w:hAnsi="Arial" w:cs="Arial"/>
                <w:sz w:val="24"/>
                <w:szCs w:val="24"/>
              </w:rPr>
              <w:t>.</w:t>
            </w:r>
          </w:p>
          <w:p w:rsidR="00490D3B" w:rsidRDefault="005E1FF8">
            <w:pPr>
              <w:spacing w:after="200" w:line="276" w:lineRule="auto"/>
              <w:jc w:val="center"/>
              <w:rPr>
                <w:rFonts w:ascii="Arial" w:eastAsia="Arial" w:hAnsi="Arial" w:cs="Arial"/>
                <w:sz w:val="24"/>
                <w:szCs w:val="24"/>
              </w:rPr>
            </w:pPr>
            <w:r>
              <w:rPr>
                <w:rFonts w:ascii="Arial" w:eastAsia="Arial" w:hAnsi="Arial" w:cs="Arial"/>
                <w:b/>
                <w:sz w:val="24"/>
                <w:szCs w:val="24"/>
              </w:rPr>
              <w:t>Quadro2</w:t>
            </w:r>
            <w:r>
              <w:rPr>
                <w:rFonts w:ascii="Arial" w:eastAsia="Arial" w:hAnsi="Arial" w:cs="Arial"/>
                <w:sz w:val="24"/>
                <w:szCs w:val="24"/>
              </w:rPr>
              <w:t>: Questões Q1, Q2 e Q7, vistas de forma mais geral.</w:t>
            </w:r>
          </w:p>
          <w:tbl>
            <w:tblPr>
              <w:tblStyle w:val="a3"/>
              <w:tblW w:w="8938"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31"/>
              <w:gridCol w:w="5296"/>
              <w:gridCol w:w="737"/>
              <w:gridCol w:w="737"/>
              <w:gridCol w:w="737"/>
            </w:tblGrid>
            <w:tr w:rsidR="00490D3B">
              <w:trPr>
                <w:trHeight w:val="380"/>
              </w:trPr>
              <w:tc>
                <w:tcPr>
                  <w:tcW w:w="1431" w:type="dxa"/>
                  <w:tcBorders>
                    <w:top w:val="single" w:sz="8" w:space="0" w:color="000000"/>
                    <w:left w:val="single" w:sz="8" w:space="0" w:color="000000"/>
                    <w:bottom w:val="single" w:sz="8"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Sigla</w:t>
                  </w:r>
                </w:p>
              </w:tc>
              <w:tc>
                <w:tcPr>
                  <w:tcW w:w="5296"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ATUAÇÃO DOCENTE ACADÊMICA</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Q1</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Q2</w:t>
                  </w:r>
                </w:p>
              </w:tc>
              <w:tc>
                <w:tcPr>
                  <w:tcW w:w="737" w:type="dxa"/>
                  <w:tcBorders>
                    <w:top w:val="single" w:sz="8"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vAlign w:val="bottom"/>
                </w:tcPr>
                <w:p w:rsidR="00490D3B" w:rsidRDefault="005E1FF8">
                  <w:pPr>
                    <w:spacing w:after="0" w:line="240" w:lineRule="auto"/>
                    <w:jc w:val="center"/>
                    <w:rPr>
                      <w:rFonts w:ascii="Arial" w:eastAsia="Arial" w:hAnsi="Arial" w:cs="Arial"/>
                      <w:sz w:val="24"/>
                      <w:szCs w:val="24"/>
                    </w:rPr>
                  </w:pPr>
                  <w:r>
                    <w:rPr>
                      <w:rFonts w:ascii="Arial" w:eastAsia="Arial" w:hAnsi="Arial" w:cs="Arial"/>
                      <w:b/>
                      <w:sz w:val="24"/>
                      <w:szCs w:val="24"/>
                    </w:rPr>
                    <w:t>Q7</w:t>
                  </w:r>
                </w:p>
              </w:tc>
            </w:tr>
            <w:tr w:rsidR="00490D3B">
              <w:trPr>
                <w:trHeight w:val="360"/>
              </w:trPr>
              <w:tc>
                <w:tcPr>
                  <w:tcW w:w="1431"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NHI5002-15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Didática</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3.76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3.70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3.58</w:t>
                  </w:r>
                </w:p>
              </w:tc>
            </w:tr>
            <w:tr w:rsidR="00490D3B">
              <w:trPr>
                <w:trHeight w:val="54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NHT3055-13</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Teoria Eletromagnética</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3.00</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NHT3095-15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Práticas de Ensino de Física I</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2.00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1.00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3.66</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NHZ3008-15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Evolução da Física</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3.25</w:t>
                  </w:r>
                </w:p>
              </w:tc>
            </w:tr>
            <w:tr w:rsidR="00490D3B">
              <w:trPr>
                <w:trHeight w:val="54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NHZ5017-15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História e Filosofia das Ciências e o Ensino de Ciências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3.44</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3.22</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NHT5004-15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Educação Científica, Sociedade e Cultura</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3.62</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3.68</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3.30</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NHI5015-15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LIBRAS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3.20</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NHT3055-13</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Teoria Eletromagnética</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3.66</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3.22</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NHT3095-15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Práticas de Ensino de Física I</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4.00</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3.85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3.85</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NHI5015-15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LIBRAS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3.45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3.25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w:t>
                  </w:r>
                </w:p>
              </w:tc>
            </w:tr>
            <w:tr w:rsidR="00490D3B">
              <w:trPr>
                <w:trHeight w:val="360"/>
              </w:trPr>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rPr>
                      <w:rFonts w:ascii="Arial" w:eastAsia="Arial" w:hAnsi="Arial" w:cs="Arial"/>
                      <w:sz w:val="24"/>
                      <w:szCs w:val="24"/>
                    </w:rPr>
                  </w:pPr>
                  <w:r>
                    <w:rPr>
                      <w:rFonts w:ascii="Arial" w:eastAsia="Arial" w:hAnsi="Arial" w:cs="Arial"/>
                      <w:sz w:val="24"/>
                      <w:szCs w:val="24"/>
                    </w:rPr>
                    <w:t>NHI5015-15</w:t>
                  </w:r>
                </w:p>
              </w:tc>
              <w:tc>
                <w:tcPr>
                  <w:tcW w:w="52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line="240" w:lineRule="auto"/>
                    <w:rPr>
                      <w:rFonts w:ascii="Arial" w:eastAsia="Arial" w:hAnsi="Arial" w:cs="Arial"/>
                      <w:sz w:val="24"/>
                      <w:szCs w:val="24"/>
                    </w:rPr>
                  </w:pPr>
                  <w:r>
                    <w:rPr>
                      <w:rFonts w:ascii="Arial" w:eastAsia="Arial" w:hAnsi="Arial" w:cs="Arial"/>
                      <w:sz w:val="24"/>
                      <w:szCs w:val="24"/>
                    </w:rPr>
                    <w:t>LIBRAS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3.45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3.55</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line="240" w:lineRule="auto"/>
                    <w:jc w:val="center"/>
                    <w:rPr>
                      <w:rFonts w:ascii="Arial" w:eastAsia="Arial" w:hAnsi="Arial" w:cs="Arial"/>
                      <w:sz w:val="24"/>
                      <w:szCs w:val="24"/>
                    </w:rPr>
                  </w:pPr>
                  <w:r>
                    <w:rPr>
                      <w:rFonts w:ascii="Arial" w:eastAsia="Arial" w:hAnsi="Arial" w:cs="Arial"/>
                      <w:sz w:val="24"/>
                      <w:szCs w:val="24"/>
                    </w:rPr>
                    <w:t>3.4</w:t>
                  </w:r>
                </w:p>
              </w:tc>
            </w:tr>
          </w:tbl>
          <w:p w:rsidR="00490D3B" w:rsidRDefault="00490D3B">
            <w:pPr>
              <w:widowControl w:val="0"/>
              <w:spacing w:after="200"/>
              <w:ind w:left="108"/>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Novamente, há de destacar certo rigor dos estudantes quanto a sua postura frente às disciplinas. Eles apontam com certo grau de coerência a nota dada a si próprio com aquela indicada à disciplina, o que pode denotar clareza dos estudantes frente às crítica</w:t>
            </w:r>
            <w:r>
              <w:rPr>
                <w:rFonts w:ascii="Arial" w:eastAsia="Arial" w:hAnsi="Arial" w:cs="Arial"/>
                <w:sz w:val="24"/>
                <w:szCs w:val="24"/>
              </w:rPr>
              <w:t>s e elogios que tecem na avaliação.</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Problemas nesse quadrimestre aparecem com a relação estabelecida entre docentes e estudantes, aspectos como falta de interação e gentileza acabaram influenciando a aprendizagem segundo as falas dos Alunos 7, 8 e 9, da di</w:t>
            </w:r>
            <w:r>
              <w:rPr>
                <w:rFonts w:ascii="Arial" w:eastAsia="Arial" w:hAnsi="Arial" w:cs="Arial"/>
                <w:sz w:val="24"/>
                <w:szCs w:val="24"/>
              </w:rPr>
              <w:t>sciplina  NHI5015-15.</w:t>
            </w:r>
          </w:p>
          <w:p w:rsidR="00490D3B" w:rsidRDefault="005E1FF8">
            <w:pPr>
              <w:ind w:left="2160"/>
              <w:jc w:val="both"/>
              <w:rPr>
                <w:rFonts w:ascii="Arial" w:eastAsia="Arial" w:hAnsi="Arial" w:cs="Arial"/>
                <w:sz w:val="24"/>
                <w:szCs w:val="24"/>
              </w:rPr>
            </w:pPr>
            <w:r>
              <w:rPr>
                <w:rFonts w:ascii="Arial" w:eastAsia="Arial" w:hAnsi="Arial" w:cs="Arial"/>
                <w:sz w:val="24"/>
                <w:szCs w:val="24"/>
              </w:rPr>
              <w:t>A docente é boa e explica bem, porém, ela pode ser menos rude com os alunos em determinadas situações e, também, ser mais flexível. (Aluno 8)</w:t>
            </w:r>
          </w:p>
          <w:p w:rsidR="00490D3B" w:rsidRDefault="00490D3B">
            <w:pPr>
              <w:ind w:left="2160"/>
              <w:jc w:val="both"/>
              <w:rPr>
                <w:rFonts w:ascii="Arial" w:eastAsia="Arial" w:hAnsi="Arial" w:cs="Arial"/>
                <w:sz w:val="24"/>
                <w:szCs w:val="24"/>
              </w:rPr>
            </w:pPr>
          </w:p>
          <w:p w:rsidR="00490D3B" w:rsidRDefault="005E1FF8">
            <w:pPr>
              <w:ind w:left="2160"/>
              <w:jc w:val="both"/>
              <w:rPr>
                <w:rFonts w:ascii="Arial" w:eastAsia="Arial" w:hAnsi="Arial" w:cs="Arial"/>
                <w:sz w:val="24"/>
                <w:szCs w:val="24"/>
              </w:rPr>
            </w:pPr>
            <w:r>
              <w:rPr>
                <w:rFonts w:ascii="Arial" w:eastAsia="Arial" w:hAnsi="Arial" w:cs="Arial"/>
                <w:sz w:val="24"/>
                <w:szCs w:val="24"/>
              </w:rPr>
              <w:t>Em alguns momentos, nos sentimos constrangidos por comentários feitos em sala de aula… (Alu</w:t>
            </w:r>
            <w:r>
              <w:rPr>
                <w:rFonts w:ascii="Arial" w:eastAsia="Arial" w:hAnsi="Arial" w:cs="Arial"/>
                <w:sz w:val="24"/>
                <w:szCs w:val="24"/>
              </w:rPr>
              <w:t>no 9)</w:t>
            </w:r>
          </w:p>
          <w:p w:rsidR="00490D3B" w:rsidRDefault="00490D3B">
            <w:pPr>
              <w:ind w:left="2160"/>
              <w:jc w:val="both"/>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 xml:space="preserve">Cabe contudo salientar que algumas disciplinas, como a colocada em questão, necessita de </w:t>
            </w:r>
            <w:r>
              <w:rPr>
                <w:rFonts w:ascii="Arial" w:eastAsia="Arial" w:hAnsi="Arial" w:cs="Arial"/>
                <w:sz w:val="24"/>
                <w:szCs w:val="24"/>
              </w:rPr>
              <w:lastRenderedPageBreak/>
              <w:t>participação efetiva dos alunos para aprendizagem dos conteúdos em sua totalidade, assim, requerendo certa desinibição dos alunos.</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A coordenação reconhece o pro</w:t>
            </w:r>
            <w:r>
              <w:rPr>
                <w:rFonts w:ascii="Arial" w:eastAsia="Arial" w:hAnsi="Arial" w:cs="Arial"/>
                <w:sz w:val="24"/>
                <w:szCs w:val="24"/>
              </w:rPr>
              <w:t>blema levantado pelos estudantes, assim como, a importância das boas relações e manutenção do clima emocional na sala de aula como fator determinante para construir um ambiente saudável para aprendizagem. Como ação dessa coordenação, os resultados da avali</w:t>
            </w:r>
            <w:r>
              <w:rPr>
                <w:rFonts w:ascii="Arial" w:eastAsia="Arial" w:hAnsi="Arial" w:cs="Arial"/>
                <w:sz w:val="24"/>
                <w:szCs w:val="24"/>
              </w:rPr>
              <w:t>ação foram encaminhados aos docentes, assim como este relatório para as suas aprovações, de forma a tomar ciência do problemas aqui levantados. Também foi discutido com a coordenação do curso e NDE os problemas levantados, de modo a indicar caminhos para m</w:t>
            </w:r>
            <w:r>
              <w:rPr>
                <w:rFonts w:ascii="Arial" w:eastAsia="Arial" w:hAnsi="Arial" w:cs="Arial"/>
                <w:sz w:val="24"/>
                <w:szCs w:val="24"/>
              </w:rPr>
              <w:t xml:space="preserve">anutenção das boas relações nas disciplinas em que os docentes da Licenciatura em Física atuam. </w:t>
            </w:r>
          </w:p>
          <w:p w:rsidR="00490D3B" w:rsidRDefault="005E1FF8">
            <w:pPr>
              <w:spacing w:after="200" w:line="276" w:lineRule="auto"/>
              <w:rPr>
                <w:rFonts w:ascii="Arial" w:eastAsia="Arial" w:hAnsi="Arial" w:cs="Arial"/>
                <w:b/>
                <w:sz w:val="24"/>
                <w:szCs w:val="24"/>
              </w:rPr>
            </w:pPr>
            <w:r>
              <w:rPr>
                <w:rFonts w:ascii="Arial" w:eastAsia="Arial" w:hAnsi="Arial" w:cs="Arial"/>
                <w:b/>
                <w:sz w:val="24"/>
                <w:szCs w:val="24"/>
              </w:rPr>
              <w:t>1.1.3. Terceiro Quadrimestre de 2019</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No terceiro quadrimestre 122 graduandos responderam o questionário que avaliaram 10 disciplinas nas quais atuam os docentes da Licenciatura em Física. As disciplinas referem-se: Questões Atuais no Ensino de Ciências, Princípios de Mecânica Quântica, Prátic</w:t>
            </w:r>
            <w:r>
              <w:rPr>
                <w:rFonts w:ascii="Arial" w:eastAsia="Arial" w:hAnsi="Arial" w:cs="Arial"/>
                <w:sz w:val="24"/>
                <w:szCs w:val="24"/>
              </w:rPr>
              <w:t>as de Ensino de Ciências e Matemática no Ensino Fundamental, Física Térmica, Práticas de Ensino de Física II e Física do Meio Ambiente.</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 xml:space="preserve">Os resultados de 2019, relacionados às didática e metodologia, indicam que 20% dos docentes receberem o conceito 4; 40% </w:t>
            </w:r>
            <w:r>
              <w:rPr>
                <w:rFonts w:ascii="Arial" w:eastAsia="Arial" w:hAnsi="Arial" w:cs="Arial"/>
                <w:sz w:val="24"/>
                <w:szCs w:val="24"/>
              </w:rPr>
              <w:t>dos docentes receberem o conceito entre 3,5 e 3,99; e 40% dos docentes receberem o conceito entre 3,0 e 3,49. Salienta-se que os resultados de 2018 apontam que 60% obteve o conceito 5; 18% o conceito 4; 9% o conceito 3; 4% o conceito 2; e 9% os conceitos 0</w:t>
            </w:r>
            <w:r>
              <w:rPr>
                <w:rFonts w:ascii="Arial" w:eastAsia="Arial" w:hAnsi="Arial" w:cs="Arial"/>
                <w:sz w:val="24"/>
                <w:szCs w:val="24"/>
              </w:rPr>
              <w:t xml:space="preserve">. Reconhece-se que houve uma queda no rendimento, o que pode ter ocorrido pelo volume de respondentes que naquele momento (ano de 2018) somavam-se somente 23 alunos.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 xml:space="preserve">Nesse sentido, no terceiro quadrimestre pouco há em termos de respostas qualitativas que </w:t>
            </w:r>
            <w:r>
              <w:rPr>
                <w:rFonts w:ascii="Arial" w:eastAsia="Arial" w:hAnsi="Arial" w:cs="Arial"/>
                <w:sz w:val="24"/>
                <w:szCs w:val="24"/>
              </w:rPr>
              <w:t>podem ser consideradas. Somente uma disciplina (NHI5011-13) obteve retorno, a qual o Aluno 11 faz críticas acerca da infraestrutura:</w:t>
            </w:r>
          </w:p>
          <w:p w:rsidR="00490D3B" w:rsidRDefault="005E1FF8">
            <w:pPr>
              <w:ind w:left="2160"/>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há carência</w:t>
            </w:r>
            <w:r>
              <w:rPr>
                <w:rFonts w:ascii="Arial" w:eastAsia="Arial" w:hAnsi="Arial" w:cs="Arial"/>
                <w:sz w:val="24"/>
                <w:szCs w:val="24"/>
              </w:rPr>
              <w:t>) Datashow e um espaço amplo, nada mais é exigido aqui. (Aluno 11)</w:t>
            </w:r>
          </w:p>
          <w:p w:rsidR="00490D3B" w:rsidRDefault="00490D3B">
            <w:pPr>
              <w:ind w:left="2160"/>
              <w:jc w:val="both"/>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Aponta-se também a contextualização de temáticas atuais em diálogo com os conteúdos das disciplinas que podem ser considerados positivos para a formação dos estudantes. Segundo o Aluno 12, da disciplina NHI5011-13,</w:t>
            </w:r>
          </w:p>
          <w:p w:rsidR="00490D3B" w:rsidRDefault="005E1FF8">
            <w:pPr>
              <w:ind w:left="2160"/>
              <w:jc w:val="both"/>
              <w:rPr>
                <w:rFonts w:ascii="Arial" w:eastAsia="Arial" w:hAnsi="Arial" w:cs="Arial"/>
                <w:sz w:val="24"/>
                <w:szCs w:val="24"/>
              </w:rPr>
            </w:pPr>
            <w:r>
              <w:rPr>
                <w:rFonts w:ascii="Arial" w:eastAsia="Arial" w:hAnsi="Arial" w:cs="Arial"/>
                <w:sz w:val="24"/>
                <w:szCs w:val="24"/>
              </w:rPr>
              <w:t>Instigante, contextualizada com a situaçã</w:t>
            </w:r>
            <w:r>
              <w:rPr>
                <w:rFonts w:ascii="Arial" w:eastAsia="Arial" w:hAnsi="Arial" w:cs="Arial"/>
                <w:sz w:val="24"/>
                <w:szCs w:val="24"/>
              </w:rPr>
              <w:t>o política e educacional do Brasil que vivemos, trazendo dados pertinentes e discussões contundentes e inclusive trazendo a aula de outro professor que ministrava a disciplina paralelamente, e que possuía outra didática ótima. (Aluno 12)</w:t>
            </w:r>
          </w:p>
          <w:p w:rsidR="00490D3B" w:rsidRDefault="00490D3B">
            <w:pPr>
              <w:ind w:left="2160"/>
              <w:jc w:val="both"/>
              <w:rPr>
                <w:rFonts w:ascii="Arial" w:eastAsia="Arial" w:hAnsi="Arial" w:cs="Arial"/>
                <w:sz w:val="24"/>
                <w:szCs w:val="24"/>
              </w:rPr>
            </w:pP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lastRenderedPageBreak/>
              <w:t>Diante do exposto</w:t>
            </w:r>
            <w:r>
              <w:rPr>
                <w:rFonts w:ascii="Arial" w:eastAsia="Arial" w:hAnsi="Arial" w:cs="Arial"/>
                <w:sz w:val="24"/>
                <w:szCs w:val="24"/>
              </w:rPr>
              <w:t>, cabe apontar que nas questões</w:t>
            </w:r>
            <w:r>
              <w:rPr>
                <w:rFonts w:ascii="Arial" w:eastAsia="Arial" w:hAnsi="Arial" w:cs="Arial"/>
                <w:sz w:val="24"/>
                <w:szCs w:val="24"/>
                <w:vertAlign w:val="superscript"/>
              </w:rPr>
              <w:footnoteReference w:id="4"/>
            </w:r>
            <w:r>
              <w:rPr>
                <w:rFonts w:ascii="Arial" w:eastAsia="Arial" w:hAnsi="Arial" w:cs="Arial"/>
                <w:sz w:val="24"/>
                <w:szCs w:val="24"/>
              </w:rPr>
              <w:t xml:space="preserve"> Q1, Q2 e Q7 analisadas levam aos resultados mais gerais, tal como indicado no </w:t>
            </w:r>
            <w:r>
              <w:rPr>
                <w:rFonts w:ascii="Arial" w:eastAsia="Arial" w:hAnsi="Arial" w:cs="Arial"/>
                <w:b/>
                <w:sz w:val="24"/>
                <w:szCs w:val="24"/>
              </w:rPr>
              <w:t>Quadro 3</w:t>
            </w:r>
            <w:r>
              <w:rPr>
                <w:rFonts w:ascii="Arial" w:eastAsia="Arial" w:hAnsi="Arial" w:cs="Arial"/>
                <w:sz w:val="24"/>
                <w:szCs w:val="24"/>
              </w:rPr>
              <w:t>.</w:t>
            </w:r>
          </w:p>
          <w:p w:rsidR="00490D3B" w:rsidRDefault="005E1FF8">
            <w:pPr>
              <w:spacing w:after="200" w:line="276" w:lineRule="auto"/>
              <w:jc w:val="center"/>
              <w:rPr>
                <w:rFonts w:ascii="Arial" w:eastAsia="Arial" w:hAnsi="Arial" w:cs="Arial"/>
                <w:sz w:val="24"/>
                <w:szCs w:val="24"/>
              </w:rPr>
            </w:pPr>
            <w:r>
              <w:rPr>
                <w:rFonts w:ascii="Arial" w:eastAsia="Arial" w:hAnsi="Arial" w:cs="Arial"/>
                <w:b/>
                <w:sz w:val="24"/>
                <w:szCs w:val="24"/>
              </w:rPr>
              <w:t>Quadro3</w:t>
            </w:r>
            <w:r>
              <w:rPr>
                <w:rFonts w:ascii="Arial" w:eastAsia="Arial" w:hAnsi="Arial" w:cs="Arial"/>
                <w:sz w:val="24"/>
                <w:szCs w:val="24"/>
              </w:rPr>
              <w:t>: Questões Q1, Q2 e Q7, vistas de forma mais geral.</w:t>
            </w:r>
          </w:p>
          <w:tbl>
            <w:tblPr>
              <w:tblStyle w:val="a4"/>
              <w:tblW w:w="8943"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67"/>
              <w:gridCol w:w="5107"/>
              <w:gridCol w:w="834"/>
              <w:gridCol w:w="800"/>
              <w:gridCol w:w="735"/>
            </w:tblGrid>
            <w:tr w:rsidR="00490D3B">
              <w:trPr>
                <w:trHeight w:val="420"/>
              </w:trPr>
              <w:tc>
                <w:tcPr>
                  <w:tcW w:w="146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bottom"/>
                </w:tcPr>
                <w:p w:rsidR="00490D3B" w:rsidRDefault="005E1FF8">
                  <w:pPr>
                    <w:spacing w:after="0"/>
                    <w:jc w:val="center"/>
                    <w:rPr>
                      <w:rFonts w:ascii="Arial" w:eastAsia="Arial" w:hAnsi="Arial" w:cs="Arial"/>
                      <w:sz w:val="24"/>
                      <w:szCs w:val="24"/>
                      <w:shd w:val="clear" w:color="auto" w:fill="CCCCCC"/>
                    </w:rPr>
                  </w:pPr>
                  <w:r>
                    <w:rPr>
                      <w:rFonts w:ascii="Arial" w:eastAsia="Arial" w:hAnsi="Arial" w:cs="Arial"/>
                      <w:b/>
                      <w:sz w:val="24"/>
                      <w:szCs w:val="24"/>
                      <w:shd w:val="clear" w:color="auto" w:fill="CCCCCC"/>
                    </w:rPr>
                    <w:t>Sigla</w:t>
                  </w:r>
                </w:p>
              </w:tc>
              <w:tc>
                <w:tcPr>
                  <w:tcW w:w="510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bottom"/>
                </w:tcPr>
                <w:p w:rsidR="00490D3B" w:rsidRDefault="005E1FF8">
                  <w:pPr>
                    <w:spacing w:after="0"/>
                    <w:jc w:val="center"/>
                    <w:rPr>
                      <w:rFonts w:ascii="Arial" w:eastAsia="Arial" w:hAnsi="Arial" w:cs="Arial"/>
                      <w:sz w:val="24"/>
                      <w:szCs w:val="24"/>
                      <w:shd w:val="clear" w:color="auto" w:fill="CCCCCC"/>
                    </w:rPr>
                  </w:pPr>
                  <w:r>
                    <w:rPr>
                      <w:rFonts w:ascii="Arial" w:eastAsia="Arial" w:hAnsi="Arial" w:cs="Arial"/>
                      <w:b/>
                      <w:sz w:val="24"/>
                      <w:szCs w:val="24"/>
                      <w:shd w:val="clear" w:color="auto" w:fill="CCCCCC"/>
                    </w:rPr>
                    <w:t>ATUAÇÃO DOCENTE ACADÊMICA</w:t>
                  </w:r>
                </w:p>
              </w:tc>
              <w:tc>
                <w:tcPr>
                  <w:tcW w:w="83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bottom"/>
                </w:tcPr>
                <w:p w:rsidR="00490D3B" w:rsidRDefault="005E1FF8">
                  <w:pPr>
                    <w:spacing w:after="0"/>
                    <w:jc w:val="center"/>
                    <w:rPr>
                      <w:rFonts w:ascii="Arial" w:eastAsia="Arial" w:hAnsi="Arial" w:cs="Arial"/>
                      <w:sz w:val="24"/>
                      <w:szCs w:val="24"/>
                      <w:shd w:val="clear" w:color="auto" w:fill="CCCCCC"/>
                    </w:rPr>
                  </w:pPr>
                  <w:r>
                    <w:rPr>
                      <w:rFonts w:ascii="Arial" w:eastAsia="Arial" w:hAnsi="Arial" w:cs="Arial"/>
                      <w:b/>
                      <w:sz w:val="24"/>
                      <w:szCs w:val="24"/>
                      <w:shd w:val="clear" w:color="auto" w:fill="CCCCCC"/>
                    </w:rPr>
                    <w:t>Q1</w:t>
                  </w:r>
                </w:p>
              </w:tc>
              <w:tc>
                <w:tcPr>
                  <w:tcW w:w="80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bottom"/>
                </w:tcPr>
                <w:p w:rsidR="00490D3B" w:rsidRDefault="005E1FF8">
                  <w:pPr>
                    <w:spacing w:after="0"/>
                    <w:jc w:val="center"/>
                    <w:rPr>
                      <w:rFonts w:ascii="Arial" w:eastAsia="Arial" w:hAnsi="Arial" w:cs="Arial"/>
                      <w:sz w:val="24"/>
                      <w:szCs w:val="24"/>
                      <w:shd w:val="clear" w:color="auto" w:fill="CCCCCC"/>
                    </w:rPr>
                  </w:pPr>
                  <w:r>
                    <w:rPr>
                      <w:rFonts w:ascii="Arial" w:eastAsia="Arial" w:hAnsi="Arial" w:cs="Arial"/>
                      <w:b/>
                      <w:sz w:val="24"/>
                      <w:szCs w:val="24"/>
                      <w:shd w:val="clear" w:color="auto" w:fill="CCCCCC"/>
                    </w:rPr>
                    <w:t>Q2</w:t>
                  </w:r>
                </w:p>
              </w:tc>
              <w:tc>
                <w:tcPr>
                  <w:tcW w:w="73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bottom"/>
                </w:tcPr>
                <w:p w:rsidR="00490D3B" w:rsidRDefault="005E1FF8">
                  <w:pPr>
                    <w:spacing w:after="0"/>
                    <w:jc w:val="center"/>
                    <w:rPr>
                      <w:rFonts w:ascii="Arial" w:eastAsia="Arial" w:hAnsi="Arial" w:cs="Arial"/>
                      <w:sz w:val="24"/>
                      <w:szCs w:val="24"/>
                      <w:shd w:val="clear" w:color="auto" w:fill="CCCCCC"/>
                    </w:rPr>
                  </w:pPr>
                  <w:r>
                    <w:rPr>
                      <w:rFonts w:ascii="Arial" w:eastAsia="Arial" w:hAnsi="Arial" w:cs="Arial"/>
                      <w:b/>
                      <w:sz w:val="24"/>
                      <w:szCs w:val="24"/>
                      <w:shd w:val="clear" w:color="auto" w:fill="CCCCCC"/>
                    </w:rPr>
                    <w:t>Q7</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NHZ5014-15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Questões Atuais no Ensino de Ciências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3.44</w:t>
                  </w:r>
                </w:p>
              </w:tc>
            </w:tr>
            <w:tr w:rsidR="00490D3B">
              <w:trPr>
                <w:trHeight w:val="30"/>
              </w:trPr>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NHT3048-15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Princípios de Mecânica Quântica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4.00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4.00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3.50</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NHZ5014-15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Questões Atuais no Ensino de Ciências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3.33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3.44</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NHT3048-15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Princípios de Mecânica Quântica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rPr>
                      <w:rFonts w:ascii="Arial" w:eastAsia="Arial" w:hAnsi="Arial" w:cs="Arial"/>
                      <w:sz w:val="24"/>
                      <w:szCs w:val="24"/>
                    </w:rPr>
                  </w:pPr>
                  <w:r>
                    <w:rPr>
                      <w:rFonts w:ascii="Arial" w:eastAsia="Arial" w:hAnsi="Arial" w:cs="Arial"/>
                      <w:sz w:val="24"/>
                      <w:szCs w:val="24"/>
                    </w:rPr>
                    <w:t>3,5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rPr>
                      <w:rFonts w:ascii="Arial" w:eastAsia="Arial" w:hAnsi="Arial" w:cs="Arial"/>
                      <w:sz w:val="24"/>
                      <w:szCs w:val="24"/>
                    </w:rPr>
                  </w:pPr>
                  <w:r>
                    <w:rPr>
                      <w:rFonts w:ascii="Arial" w:eastAsia="Arial" w:hAnsi="Arial" w:cs="Arial"/>
                      <w:sz w:val="24"/>
                      <w:szCs w:val="24"/>
                    </w:rPr>
                    <w:t>3.5</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3.25</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NHT5013-15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Práticas de Ensino de Ciências e Matemática no Ensino Fundamental</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3.66</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3.78</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3.38</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NHT3013-13</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Física Térmica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3.66</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3.77</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3.88</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NHT3090-15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Práticas de Ensino de Física II</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3.50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3.25</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3.70</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NHT3090-15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Práticas de Ensino de Física II</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3.40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3.80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3.80</w:t>
                  </w:r>
                </w:p>
              </w:tc>
            </w:tr>
            <w:tr w:rsidR="00490D3B">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NHZ3084-15</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Física do Meio Ambiente</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3.32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3.32</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3.44</w:t>
                  </w:r>
                </w:p>
              </w:tc>
            </w:tr>
            <w:tr w:rsidR="00490D3B">
              <w:trPr>
                <w:trHeight w:val="255"/>
              </w:trPr>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s>
                    <w:spacing w:after="0"/>
                    <w:rPr>
                      <w:rFonts w:ascii="Arial" w:eastAsia="Arial" w:hAnsi="Arial" w:cs="Arial"/>
                      <w:sz w:val="24"/>
                      <w:szCs w:val="24"/>
                    </w:rPr>
                  </w:pPr>
                  <w:r>
                    <w:rPr>
                      <w:rFonts w:ascii="Arial" w:eastAsia="Arial" w:hAnsi="Arial" w:cs="Arial"/>
                      <w:sz w:val="24"/>
                      <w:szCs w:val="24"/>
                    </w:rPr>
                    <w:t>NHI5011-13</w:t>
                  </w:r>
                </w:p>
              </w:tc>
              <w:tc>
                <w:tcPr>
                  <w:tcW w:w="51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tabs>
                      <w:tab w:val="left" w:pos="1440"/>
                      <w:tab w:val="left" w:pos="2880"/>
                      <w:tab w:val="left" w:pos="4320"/>
                    </w:tabs>
                    <w:spacing w:after="0"/>
                    <w:rPr>
                      <w:rFonts w:ascii="Arial" w:eastAsia="Arial" w:hAnsi="Arial" w:cs="Arial"/>
                      <w:sz w:val="24"/>
                      <w:szCs w:val="24"/>
                    </w:rPr>
                  </w:pPr>
                  <w:r>
                    <w:rPr>
                      <w:rFonts w:ascii="Arial" w:eastAsia="Arial" w:hAnsi="Arial" w:cs="Arial"/>
                      <w:sz w:val="24"/>
                      <w:szCs w:val="24"/>
                    </w:rPr>
                    <w:t>Políticas Educacionais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3.79</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3.75</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90D3B" w:rsidRDefault="005E1FF8">
                  <w:pPr>
                    <w:spacing w:after="0"/>
                    <w:jc w:val="center"/>
                    <w:rPr>
                      <w:rFonts w:ascii="Arial" w:eastAsia="Arial" w:hAnsi="Arial" w:cs="Arial"/>
                      <w:sz w:val="24"/>
                      <w:szCs w:val="24"/>
                    </w:rPr>
                  </w:pPr>
                  <w:r>
                    <w:rPr>
                      <w:rFonts w:ascii="Arial" w:eastAsia="Arial" w:hAnsi="Arial" w:cs="Arial"/>
                      <w:sz w:val="24"/>
                      <w:szCs w:val="24"/>
                    </w:rPr>
                    <w:t>3.48</w:t>
                  </w:r>
                </w:p>
              </w:tc>
            </w:tr>
          </w:tbl>
          <w:p w:rsidR="00490D3B" w:rsidRDefault="00490D3B">
            <w:pPr>
              <w:widowControl w:val="0"/>
              <w:spacing w:after="200" w:line="276" w:lineRule="auto"/>
              <w:ind w:left="108"/>
              <w:rPr>
                <w:rFonts w:ascii="Arial" w:eastAsia="Arial" w:hAnsi="Arial" w:cs="Arial"/>
                <w:sz w:val="24"/>
                <w:szCs w:val="24"/>
              </w:rPr>
            </w:pPr>
          </w:p>
          <w:p w:rsidR="00490D3B" w:rsidRDefault="005E1FF8">
            <w:pPr>
              <w:spacing w:after="200" w:line="276" w:lineRule="auto"/>
              <w:jc w:val="both"/>
            </w:pPr>
            <w:r>
              <w:rPr>
                <w:rFonts w:ascii="Arial" w:eastAsia="Arial" w:hAnsi="Arial" w:cs="Arial"/>
                <w:sz w:val="24"/>
                <w:szCs w:val="24"/>
              </w:rPr>
              <w:t>Novamente, há de destacar certo rigor dos estudantes quanto a sua postura frente às disciplinas. Eles apontam com certo grau de coerência a nota dada a si próprio com aquela indicada à disciplina, o que pode denotar clareza dos estudantes frente às crítica</w:t>
            </w:r>
            <w:r>
              <w:rPr>
                <w:rFonts w:ascii="Arial" w:eastAsia="Arial" w:hAnsi="Arial" w:cs="Arial"/>
                <w:sz w:val="24"/>
                <w:szCs w:val="24"/>
              </w:rPr>
              <w:t>s e elogios que tecem na avaliação.</w:t>
            </w:r>
          </w:p>
        </w:tc>
      </w:tr>
      <w:tr w:rsidR="00490D3B">
        <w:tc>
          <w:tcPr>
            <w:tcW w:w="4950" w:type="dxa"/>
            <w:tcBorders>
              <w:top w:val="nil"/>
              <w:bottom w:val="single" w:sz="4" w:space="0" w:color="000000"/>
              <w:right w:val="nil"/>
            </w:tcBorders>
          </w:tcPr>
          <w:p w:rsidR="00490D3B" w:rsidRDefault="00490D3B">
            <w:pPr>
              <w:pBdr>
                <w:top w:val="nil"/>
                <w:left w:val="nil"/>
                <w:bottom w:val="nil"/>
                <w:right w:val="nil"/>
                <w:between w:val="nil"/>
              </w:pBdr>
              <w:spacing w:line="276" w:lineRule="auto"/>
              <w:rPr>
                <w:color w:val="000000"/>
              </w:rPr>
            </w:pPr>
          </w:p>
          <w:p w:rsidR="00490D3B" w:rsidRDefault="00490D3B">
            <w:pPr>
              <w:pBdr>
                <w:top w:val="nil"/>
                <w:left w:val="nil"/>
                <w:bottom w:val="nil"/>
                <w:right w:val="nil"/>
                <w:between w:val="nil"/>
              </w:pBdr>
              <w:spacing w:after="200" w:line="276" w:lineRule="auto"/>
              <w:ind w:left="720"/>
              <w:rPr>
                <w:color w:val="000000"/>
              </w:rPr>
            </w:pPr>
          </w:p>
        </w:tc>
        <w:tc>
          <w:tcPr>
            <w:tcW w:w="5595" w:type="dxa"/>
            <w:tcBorders>
              <w:top w:val="nil"/>
              <w:left w:val="nil"/>
              <w:bottom w:val="single" w:sz="4" w:space="0" w:color="000000"/>
            </w:tcBorders>
          </w:tcPr>
          <w:p w:rsidR="00490D3B" w:rsidRDefault="00490D3B">
            <w:pPr>
              <w:pBdr>
                <w:top w:val="nil"/>
                <w:left w:val="nil"/>
                <w:bottom w:val="nil"/>
                <w:right w:val="nil"/>
                <w:between w:val="nil"/>
              </w:pBdr>
              <w:spacing w:after="200" w:line="276" w:lineRule="auto"/>
              <w:ind w:left="720"/>
              <w:rPr>
                <w:color w:val="000000"/>
              </w:rPr>
            </w:pPr>
          </w:p>
          <w:p w:rsidR="00490D3B" w:rsidRDefault="00490D3B">
            <w:pPr>
              <w:pBdr>
                <w:top w:val="nil"/>
                <w:left w:val="nil"/>
                <w:bottom w:val="nil"/>
                <w:right w:val="nil"/>
                <w:between w:val="nil"/>
              </w:pBdr>
              <w:spacing w:line="276" w:lineRule="auto"/>
              <w:ind w:left="720"/>
              <w:rPr>
                <w:color w:val="000000"/>
              </w:rPr>
            </w:pPr>
          </w:p>
          <w:p w:rsidR="00490D3B" w:rsidRDefault="00490D3B">
            <w:pPr>
              <w:pBdr>
                <w:top w:val="nil"/>
                <w:left w:val="nil"/>
                <w:bottom w:val="nil"/>
                <w:right w:val="nil"/>
                <w:between w:val="nil"/>
              </w:pBdr>
              <w:spacing w:after="200" w:line="276" w:lineRule="auto"/>
              <w:ind w:left="720"/>
              <w:rPr>
                <w:color w:val="000000"/>
              </w:rPr>
            </w:pPr>
          </w:p>
        </w:tc>
      </w:tr>
      <w:tr w:rsidR="00490D3B">
        <w:tc>
          <w:tcPr>
            <w:tcW w:w="10545" w:type="dxa"/>
            <w:gridSpan w:val="2"/>
            <w:tcBorders>
              <w:bottom w:val="nil"/>
            </w:tcBorders>
          </w:tcPr>
          <w:p w:rsidR="00490D3B" w:rsidRDefault="005E1FF8">
            <w:pPr>
              <w:numPr>
                <w:ilvl w:val="0"/>
                <w:numId w:val="3"/>
              </w:numPr>
              <w:pBdr>
                <w:top w:val="nil"/>
                <w:left w:val="nil"/>
                <w:bottom w:val="nil"/>
                <w:right w:val="nil"/>
                <w:between w:val="nil"/>
              </w:pBdr>
              <w:spacing w:before="120" w:line="276" w:lineRule="auto"/>
              <w:ind w:left="714" w:hanging="357"/>
            </w:pPr>
            <w:bookmarkStart w:id="1" w:name="_heading=h.gjdgxs" w:colFirst="0" w:colLast="0"/>
            <w:bookmarkEnd w:id="1"/>
            <w:r>
              <w:rPr>
                <w:color w:val="000000"/>
              </w:rPr>
              <w:t>Encaminhamentos</w:t>
            </w:r>
          </w:p>
          <w:p w:rsidR="00490D3B" w:rsidRDefault="005E1FF8">
            <w:pPr>
              <w:pBdr>
                <w:top w:val="nil"/>
                <w:left w:val="nil"/>
                <w:bottom w:val="nil"/>
                <w:right w:val="nil"/>
                <w:between w:val="nil"/>
              </w:pBdr>
              <w:spacing w:after="200" w:line="276" w:lineRule="auto"/>
              <w:ind w:left="720"/>
              <w:rPr>
                <w:b/>
                <w:color w:val="000000"/>
                <w:sz w:val="16"/>
                <w:szCs w:val="16"/>
              </w:rPr>
            </w:pPr>
            <w:r>
              <w:rPr>
                <w:b/>
                <w:color w:val="FF0000"/>
                <w:sz w:val="16"/>
                <w:szCs w:val="16"/>
                <w:highlight w:val="yellow"/>
              </w:rPr>
              <w:t>AS INFORMAÇÕES ABAIXO DEVEM SER INSERIDAS NA PLANILHA MODELO: RELATÓRIO DE AVALIAÇÃO DE DISCIPLINAS</w:t>
            </w:r>
          </w:p>
        </w:tc>
      </w:tr>
      <w:tr w:rsidR="00490D3B">
        <w:tc>
          <w:tcPr>
            <w:tcW w:w="10545" w:type="dxa"/>
            <w:gridSpan w:val="2"/>
            <w:tcBorders>
              <w:top w:val="nil"/>
            </w:tcBorders>
          </w:tcPr>
          <w:p w:rsidR="00490D3B" w:rsidRDefault="005E1FF8">
            <w:pPr>
              <w:numPr>
                <w:ilvl w:val="1"/>
                <w:numId w:val="3"/>
              </w:numPr>
              <w:pBdr>
                <w:top w:val="nil"/>
                <w:left w:val="nil"/>
                <w:bottom w:val="nil"/>
                <w:right w:val="nil"/>
                <w:between w:val="nil"/>
              </w:pBdr>
              <w:spacing w:line="276" w:lineRule="auto"/>
            </w:pPr>
            <w:r>
              <w:rPr>
                <w:color w:val="000000"/>
              </w:rPr>
              <w:t>Recomendações e propostas do NDE para o curso</w:t>
            </w:r>
          </w:p>
          <w:p w:rsidR="00490D3B" w:rsidRDefault="00490D3B">
            <w:pPr>
              <w:pBdr>
                <w:top w:val="nil"/>
                <w:left w:val="nil"/>
                <w:bottom w:val="nil"/>
                <w:right w:val="nil"/>
                <w:between w:val="nil"/>
              </w:pBdr>
              <w:spacing w:line="276" w:lineRule="auto"/>
              <w:ind w:left="720"/>
              <w:rPr>
                <w:color w:val="000000"/>
              </w:rPr>
            </w:pPr>
          </w:p>
          <w:p w:rsidR="00490D3B" w:rsidRDefault="005E1FF8">
            <w:pPr>
              <w:numPr>
                <w:ilvl w:val="1"/>
                <w:numId w:val="3"/>
              </w:numPr>
              <w:spacing w:before="120" w:after="200" w:line="276" w:lineRule="auto"/>
              <w:ind w:left="714" w:hanging="357"/>
            </w:pPr>
            <w:r>
              <w:t>Propostas e cronograma de ações a serem implementadas pela coordenação de curso, incluindo custos quando aplicável.</w:t>
            </w:r>
          </w:p>
          <w:p w:rsidR="00490D3B" w:rsidRDefault="005E1FF8">
            <w:pPr>
              <w:numPr>
                <w:ilvl w:val="1"/>
                <w:numId w:val="3"/>
              </w:numPr>
              <w:spacing w:before="120" w:after="200" w:line="276" w:lineRule="auto"/>
              <w:ind w:left="714" w:hanging="357"/>
            </w:pPr>
            <w:r>
              <w:lastRenderedPageBreak/>
              <w:t>Propostas de ações a serem implementadas pela coordenação de disciplina, quando aplicável.</w:t>
            </w:r>
          </w:p>
        </w:tc>
      </w:tr>
      <w:tr w:rsidR="00490D3B">
        <w:tc>
          <w:tcPr>
            <w:tcW w:w="10545" w:type="dxa"/>
            <w:gridSpan w:val="2"/>
          </w:tcPr>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lastRenderedPageBreak/>
              <w:t>Devido às mudanças de coleta de dados de 2018 para 2019 nota-se que o relatório perde qualidade em termos de comparação e adequação à longo prazo das implementações de melhoria das ações da coordenação em parceria com o grupo de ensino de física. Para esse</w:t>
            </w:r>
            <w:r>
              <w:rPr>
                <w:rFonts w:ascii="Arial" w:eastAsia="Arial" w:hAnsi="Arial" w:cs="Arial"/>
                <w:sz w:val="24"/>
                <w:szCs w:val="24"/>
              </w:rPr>
              <w:t xml:space="preserve"> relatório foi proposta nova forma de análise dos resultados de 2018 para 2019: analisar o conjunto dos docentes do grupo de Ensino de Física, em detrimento dos cursos onde atuam. A partir disso, é possível notar que há elementos que indicam certa constânc</w:t>
            </w:r>
            <w:r>
              <w:rPr>
                <w:rFonts w:ascii="Arial" w:eastAsia="Arial" w:hAnsi="Arial" w:cs="Arial"/>
                <w:sz w:val="24"/>
                <w:szCs w:val="24"/>
              </w:rPr>
              <w:t>ia nos resultados obtidos. Inicialmente, pode-se reconhecer que a maioria dos docentes possuem conceitos entre 4 e 3, indicando qualitativamente reconhecimento da qualidade alta e média-alta em suas atuações, tanto do ponto de vista da didática como das me</w:t>
            </w:r>
            <w:r>
              <w:rPr>
                <w:rFonts w:ascii="Arial" w:eastAsia="Arial" w:hAnsi="Arial" w:cs="Arial"/>
                <w:sz w:val="24"/>
                <w:szCs w:val="24"/>
              </w:rPr>
              <w:t xml:space="preserve">todologias que propõem. </w:t>
            </w:r>
          </w:p>
          <w:p w:rsidR="00490D3B" w:rsidRDefault="005E1FF8">
            <w:pPr>
              <w:spacing w:after="200" w:line="276" w:lineRule="auto"/>
              <w:jc w:val="both"/>
              <w:rPr>
                <w:rFonts w:ascii="Arial" w:eastAsia="Arial" w:hAnsi="Arial" w:cs="Arial"/>
                <w:sz w:val="24"/>
                <w:szCs w:val="24"/>
              </w:rPr>
            </w:pPr>
            <w:r>
              <w:rPr>
                <w:rFonts w:ascii="Arial" w:eastAsia="Arial" w:hAnsi="Arial" w:cs="Arial"/>
                <w:sz w:val="24"/>
                <w:szCs w:val="24"/>
              </w:rPr>
              <w:t>Contudo há alguns apontamentos acerca das relações interpessoais e aspectos propositivos na sala de aula que podem comprometer o processo ensino-aprendizagem. Nesse sentido, a coordenação indica alguns elementos que compõem possíve</w:t>
            </w:r>
            <w:r>
              <w:rPr>
                <w:rFonts w:ascii="Arial" w:eastAsia="Arial" w:hAnsi="Arial" w:cs="Arial"/>
                <w:sz w:val="24"/>
                <w:szCs w:val="24"/>
              </w:rPr>
              <w:t>is ações (com comentários dos professores) que podem contribuir para a reflexão, a saber:</w:t>
            </w:r>
          </w:p>
          <w:p w:rsidR="00490D3B" w:rsidRDefault="005E1FF8">
            <w:pPr>
              <w:numPr>
                <w:ilvl w:val="0"/>
                <w:numId w:val="1"/>
              </w:numPr>
              <w:spacing w:after="200" w:line="276" w:lineRule="auto"/>
              <w:jc w:val="both"/>
              <w:rPr>
                <w:rFonts w:ascii="Arial" w:eastAsia="Arial" w:hAnsi="Arial" w:cs="Arial"/>
                <w:sz w:val="24"/>
                <w:szCs w:val="24"/>
              </w:rPr>
            </w:pPr>
            <w:r>
              <w:rPr>
                <w:rFonts w:ascii="Arial" w:eastAsia="Arial" w:hAnsi="Arial" w:cs="Arial"/>
                <w:sz w:val="24"/>
                <w:szCs w:val="24"/>
              </w:rPr>
              <w:t>Discussão do assunto em reunião do Núcleo Docente Estruturante e da coordenação da Licenciatura em Física ocorrida no dia 15 de abril de 2020. Em especial, no context</w:t>
            </w:r>
            <w:r>
              <w:rPr>
                <w:rFonts w:ascii="Arial" w:eastAsia="Arial" w:hAnsi="Arial" w:cs="Arial"/>
                <w:sz w:val="24"/>
                <w:szCs w:val="24"/>
              </w:rPr>
              <w:t>o da atualização do Plano Pedagógico do Curso da Licenciatura em Física, sobre possibilidade de não ofertar o Estágio Supervisionado no segundo quadrimestre. Conforme já apontado anteriormente, destaca-se aqui a fala do Docente 4,</w:t>
            </w:r>
          </w:p>
          <w:p w:rsidR="00490D3B" w:rsidRDefault="005E1FF8">
            <w:pPr>
              <w:spacing w:after="200" w:line="276" w:lineRule="auto"/>
              <w:ind w:left="1693"/>
              <w:jc w:val="both"/>
              <w:rPr>
                <w:rFonts w:ascii="Arial" w:eastAsia="Arial" w:hAnsi="Arial" w:cs="Arial"/>
                <w:sz w:val="24"/>
                <w:szCs w:val="24"/>
              </w:rPr>
            </w:pPr>
            <w:r>
              <w:rPr>
                <w:rFonts w:ascii="Arial" w:eastAsia="Arial" w:hAnsi="Arial" w:cs="Arial"/>
                <w:sz w:val="24"/>
                <w:szCs w:val="24"/>
                <w:highlight w:val="white"/>
              </w:rPr>
              <w:t>Não acho ser possível ter</w:t>
            </w:r>
            <w:r>
              <w:rPr>
                <w:rFonts w:ascii="Arial" w:eastAsia="Arial" w:hAnsi="Arial" w:cs="Arial"/>
                <w:sz w:val="24"/>
                <w:szCs w:val="24"/>
                <w:highlight w:val="white"/>
              </w:rPr>
              <w:t xml:space="preserve"> um enfoque em FMC neste quadrimestre e nesse estágio. Os alunos precisam entender que esse estágio é o de primeiro contato com a escola. O problema é que como os alunos fazem os estágios todos fora de ordem, isso acaba prejudicando os objetivos deste está</w:t>
            </w:r>
            <w:r>
              <w:rPr>
                <w:rFonts w:ascii="Arial" w:eastAsia="Arial" w:hAnsi="Arial" w:cs="Arial"/>
                <w:sz w:val="24"/>
                <w:szCs w:val="24"/>
                <w:highlight w:val="white"/>
              </w:rPr>
              <w:t>gio específico, o primeiro. Ou seja, como eles já tiveram o primeiro contato com a escola em outros estágios, fica parecendo que o Estágio I é perda de tempo. Acho que temos que reforçar esse ponto: o Estágio I tem como foco o reconhecimento do espaço esco</w:t>
            </w:r>
            <w:r>
              <w:rPr>
                <w:rFonts w:ascii="Arial" w:eastAsia="Arial" w:hAnsi="Arial" w:cs="Arial"/>
                <w:sz w:val="24"/>
                <w:szCs w:val="24"/>
                <w:highlight w:val="white"/>
              </w:rPr>
              <w:t>lar, não sendo possível, na maioria das vezes, um enfoque mais específico em algum tema da Física. (Docente 4)</w:t>
            </w:r>
          </w:p>
          <w:p w:rsidR="00490D3B" w:rsidRDefault="005E1FF8">
            <w:pPr>
              <w:numPr>
                <w:ilvl w:val="0"/>
                <w:numId w:val="1"/>
              </w:numPr>
              <w:spacing w:after="200" w:line="276" w:lineRule="auto"/>
              <w:jc w:val="both"/>
              <w:rPr>
                <w:rFonts w:ascii="Arial" w:eastAsia="Arial" w:hAnsi="Arial" w:cs="Arial"/>
                <w:sz w:val="24"/>
                <w:szCs w:val="24"/>
              </w:rPr>
            </w:pPr>
            <w:r>
              <w:rPr>
                <w:rFonts w:ascii="Arial" w:eastAsia="Arial" w:hAnsi="Arial" w:cs="Arial"/>
                <w:sz w:val="24"/>
                <w:szCs w:val="24"/>
              </w:rPr>
              <w:t xml:space="preserve">Em mesma reunião, o grupo discutiu a possibilidade em ajustar a oferta de disciplinas que não esteja concomitantes com o curso de Bacharelado em </w:t>
            </w:r>
            <w:r>
              <w:rPr>
                <w:rFonts w:ascii="Arial" w:eastAsia="Arial" w:hAnsi="Arial" w:cs="Arial"/>
                <w:sz w:val="24"/>
                <w:szCs w:val="24"/>
              </w:rPr>
              <w:t>Física, o que de certo modo já vendo sendo realizado durante a alocação didática dos segundo e terceiro quadrimestres de 2020 com a PROGRAD. É importante destacar que c</w:t>
            </w:r>
            <w:r>
              <w:rPr>
                <w:rFonts w:ascii="Arial" w:eastAsia="Arial" w:hAnsi="Arial" w:cs="Arial"/>
                <w:sz w:val="24"/>
                <w:szCs w:val="24"/>
                <w:highlight w:val="white"/>
              </w:rPr>
              <w:t>ada curso tem sua especificidade e sua oferta e, portanto, nem sempre que possível não s</w:t>
            </w:r>
            <w:r>
              <w:rPr>
                <w:rFonts w:ascii="Arial" w:eastAsia="Arial" w:hAnsi="Arial" w:cs="Arial"/>
                <w:sz w:val="24"/>
                <w:szCs w:val="24"/>
                <w:highlight w:val="white"/>
              </w:rPr>
              <w:t>obrepor os horários.</w:t>
            </w:r>
          </w:p>
          <w:p w:rsidR="00490D3B" w:rsidRDefault="005E1FF8">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4"/>
                <w:szCs w:val="24"/>
              </w:rPr>
            </w:pPr>
            <w:r>
              <w:rPr>
                <w:rFonts w:ascii="Arial" w:eastAsia="Arial" w:hAnsi="Arial" w:cs="Arial"/>
                <w:sz w:val="24"/>
                <w:szCs w:val="24"/>
              </w:rPr>
              <w:t>Os resultados da avaliação foram encaminhados aos docentes, assim como este relatório para aprovação, de forma que todos possam tomar ciência dos relatos aqui indicados. Também foi discutido com a coordenação do curso e NDE os indicado</w:t>
            </w:r>
            <w:r>
              <w:rPr>
                <w:rFonts w:ascii="Arial" w:eastAsia="Arial" w:hAnsi="Arial" w:cs="Arial"/>
                <w:sz w:val="24"/>
                <w:szCs w:val="24"/>
              </w:rPr>
              <w:t xml:space="preserve">res desta avaliação, para que alguns caminhos sejam pensados para manutenção das boas relações nas </w:t>
            </w:r>
            <w:r>
              <w:rPr>
                <w:rFonts w:ascii="Arial" w:eastAsia="Arial" w:hAnsi="Arial" w:cs="Arial"/>
                <w:sz w:val="24"/>
                <w:szCs w:val="24"/>
              </w:rPr>
              <w:lastRenderedPageBreak/>
              <w:t>disciplinas nas quais os docentes da Licenciatura em Física atuam. Também foi pedido/ sugerido que os docentes tomassem ciência de suas avaliações e que real</w:t>
            </w:r>
            <w:r>
              <w:rPr>
                <w:rFonts w:ascii="Arial" w:eastAsia="Arial" w:hAnsi="Arial" w:cs="Arial"/>
                <w:sz w:val="24"/>
                <w:szCs w:val="24"/>
              </w:rPr>
              <w:t>izassem comentários sobre as mesmas. Nesse sentido, os trechos enviados por alguns docentes são descritos abaixo, da forma em que foram enviados, sem nenhuma interferência da coordenação.</w:t>
            </w:r>
          </w:p>
          <w:p w:rsidR="00490D3B" w:rsidRDefault="005E1FF8">
            <w:pPr>
              <w:spacing w:line="276" w:lineRule="auto"/>
              <w:ind w:left="1440"/>
              <w:jc w:val="both"/>
              <w:rPr>
                <w:rFonts w:ascii="Arial" w:eastAsia="Arial" w:hAnsi="Arial" w:cs="Arial"/>
                <w:sz w:val="24"/>
                <w:szCs w:val="24"/>
                <w:highlight w:val="white"/>
              </w:rPr>
            </w:pPr>
            <w:r>
              <w:rPr>
                <w:rFonts w:ascii="Arial" w:eastAsia="Arial" w:hAnsi="Arial" w:cs="Arial"/>
                <w:color w:val="333333"/>
                <w:sz w:val="24"/>
                <w:szCs w:val="24"/>
              </w:rPr>
              <w:br/>
            </w:r>
            <w:r>
              <w:rPr>
                <w:rFonts w:ascii="Arial" w:eastAsia="Arial" w:hAnsi="Arial" w:cs="Arial"/>
                <w:sz w:val="24"/>
                <w:szCs w:val="24"/>
                <w:highlight w:val="white"/>
              </w:rPr>
              <w:t>Considerando que as médias das suas turmas do noturno ficaram entre 3,5 e 4,0 pode-se considerar que houve uma visão positiva sobre a disciplina. Contudo quanto um aluno apontou que  “O projetor da sala 305-1 (SA) está com problema (imagem com uma cor meio</w:t>
            </w:r>
            <w:r>
              <w:rPr>
                <w:rFonts w:ascii="Arial" w:eastAsia="Arial" w:hAnsi="Arial" w:cs="Arial"/>
                <w:sz w:val="24"/>
                <w:szCs w:val="24"/>
                <w:highlight w:val="white"/>
              </w:rPr>
              <w:t xml:space="preserve"> amarelada)” chama a atenção que o problema persistiu durante todo o quadrimestre e que poderia ser resolvido com um pedido formal à prefeitura. Ao analisar a situação não havia tomada conta do quanto poderia prejudicar a aula dos alunos essa falha técnica</w:t>
            </w:r>
            <w:r>
              <w:rPr>
                <w:rFonts w:ascii="Arial" w:eastAsia="Arial" w:hAnsi="Arial" w:cs="Arial"/>
                <w:sz w:val="24"/>
                <w:szCs w:val="24"/>
                <w:highlight w:val="white"/>
              </w:rPr>
              <w:t>. (Docente 1)</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highlight w:val="white"/>
              </w:rPr>
              <w:t>Os alunos avaliaram o curso entre 3,5 e 4,0 o que pode ser caracterizado como bom desempenho na disciplina. Como não houve comentários específicos, pode-se dar espaço na disciplina para instigar os alunos a participarem efetivamente do curso</w:t>
            </w:r>
            <w:r>
              <w:rPr>
                <w:rFonts w:ascii="Arial" w:eastAsia="Arial" w:hAnsi="Arial" w:cs="Arial"/>
                <w:sz w:val="24"/>
                <w:szCs w:val="24"/>
                <w:highlight w:val="white"/>
              </w:rPr>
              <w:t xml:space="preserve"> e termos uma visão mais detalhada dos problemas e demandas dessa disciplina. (Docente 1)</w:t>
            </w:r>
          </w:p>
          <w:p w:rsidR="00490D3B" w:rsidRDefault="00490D3B">
            <w:pPr>
              <w:spacing w:line="276" w:lineRule="auto"/>
              <w:ind w:left="1440"/>
              <w:jc w:val="both"/>
              <w:rPr>
                <w:rFonts w:ascii="Arial" w:eastAsia="Arial" w:hAnsi="Arial" w:cs="Arial"/>
                <w:sz w:val="24"/>
                <w:szCs w:val="24"/>
                <w:highlight w:val="white"/>
              </w:rPr>
            </w:pPr>
          </w:p>
          <w:p w:rsidR="00490D3B" w:rsidRDefault="005E1FF8">
            <w:pPr>
              <w:spacing w:line="276" w:lineRule="auto"/>
              <w:ind w:left="1440"/>
              <w:jc w:val="both"/>
              <w:rPr>
                <w:rFonts w:ascii="Arial" w:eastAsia="Arial" w:hAnsi="Arial" w:cs="Arial"/>
                <w:sz w:val="24"/>
                <w:szCs w:val="24"/>
                <w:highlight w:val="white"/>
              </w:rPr>
            </w:pPr>
            <w:r>
              <w:rPr>
                <w:rFonts w:ascii="Arial" w:eastAsia="Arial" w:hAnsi="Arial" w:cs="Arial"/>
                <w:sz w:val="24"/>
                <w:szCs w:val="24"/>
                <w:highlight w:val="white"/>
              </w:rPr>
              <w:t>A disciplina obteve média entre 3,5 e 4,0 nos requisitos avaliados, em geral, os alunos apontam que as propostas de avaliação foram condizentes ao que foi discutido no curso. Críticas como a falta de participação dos alunos no debate precisam ser redimensi</w:t>
            </w:r>
            <w:r>
              <w:rPr>
                <w:rFonts w:ascii="Arial" w:eastAsia="Arial" w:hAnsi="Arial" w:cs="Arial"/>
                <w:sz w:val="24"/>
                <w:szCs w:val="24"/>
                <w:highlight w:val="white"/>
              </w:rPr>
              <w:t>onados nas aulas, assim, procurando futuramente construir espaços onde alunos possam se expressar de modo mais significativo (como colocar momentos de debate de textos ou impressões sobre as temáticas abordadas). (Docente 1)</w:t>
            </w:r>
          </w:p>
          <w:p w:rsidR="00490D3B" w:rsidRDefault="00490D3B">
            <w:pPr>
              <w:spacing w:line="276" w:lineRule="auto"/>
              <w:ind w:left="1440"/>
              <w:jc w:val="both"/>
              <w:rPr>
                <w:rFonts w:ascii="Arial" w:eastAsia="Arial" w:hAnsi="Arial" w:cs="Arial"/>
                <w:color w:val="333333"/>
                <w:sz w:val="24"/>
                <w:szCs w:val="24"/>
                <w:highlight w:val="white"/>
              </w:rPr>
            </w:pPr>
          </w:p>
          <w:p w:rsidR="00490D3B" w:rsidRDefault="005E1FF8">
            <w:pPr>
              <w:spacing w:line="276" w:lineRule="auto"/>
              <w:ind w:left="1440"/>
              <w:jc w:val="both"/>
              <w:rPr>
                <w:rFonts w:ascii="Arial" w:eastAsia="Arial" w:hAnsi="Arial" w:cs="Arial"/>
                <w:color w:val="333333"/>
                <w:sz w:val="24"/>
                <w:szCs w:val="24"/>
                <w:highlight w:val="white"/>
              </w:rPr>
            </w:pPr>
            <w:r>
              <w:rPr>
                <w:rFonts w:ascii="Arial" w:eastAsia="Arial" w:hAnsi="Arial" w:cs="Arial"/>
                <w:sz w:val="24"/>
                <w:szCs w:val="24"/>
              </w:rPr>
              <w:t>As disciplinas foram avaliadas</w:t>
            </w:r>
            <w:r>
              <w:rPr>
                <w:rFonts w:ascii="Arial" w:eastAsia="Arial" w:hAnsi="Arial" w:cs="Arial"/>
                <w:sz w:val="24"/>
                <w:szCs w:val="24"/>
              </w:rPr>
              <w:t xml:space="preserve"> com médias entre 3 e 4 o que me parece uma avaliação positiva. O aprofundamento de textos precisa ser analisado buscando rever textos da bibliografia básica da disciplina e/ou o desafio em discuti-los de forma mais aprofundada quando a maioria dos alunos </w:t>
            </w:r>
            <w:r>
              <w:rPr>
                <w:rFonts w:ascii="Arial" w:eastAsia="Arial" w:hAnsi="Arial" w:cs="Arial"/>
                <w:sz w:val="24"/>
                <w:szCs w:val="24"/>
              </w:rPr>
              <w:t>não os lêem para as aulas. Também é preciso reforçar que a prática da disciplina de Libras exige que o aluno se comunique de forma a se manifestar através do corpo (sendo as expressões faciais e corporais uma parte da gramática da Libras). Isso tem sido es</w:t>
            </w:r>
            <w:r>
              <w:rPr>
                <w:rFonts w:ascii="Arial" w:eastAsia="Arial" w:hAnsi="Arial" w:cs="Arial"/>
                <w:sz w:val="24"/>
                <w:szCs w:val="24"/>
              </w:rPr>
              <w:t>clarecido no plano de ensino da disciplina apresentado no primeiro dia de aula e estr</w:t>
            </w:r>
            <w:r>
              <w:rPr>
                <w:rFonts w:ascii="Arial" w:eastAsia="Arial" w:hAnsi="Arial" w:cs="Arial"/>
                <w:color w:val="222222"/>
                <w:sz w:val="24"/>
                <w:szCs w:val="24"/>
              </w:rPr>
              <w:t>atégias como gravar sua produção em vídeo, realizar atividades em dupla, entre outras já são desenvolvidas. Há ainda o problema de alunos almejarem maior flexibilidade par</w:t>
            </w:r>
            <w:r>
              <w:rPr>
                <w:rFonts w:ascii="Arial" w:eastAsia="Arial" w:hAnsi="Arial" w:cs="Arial"/>
                <w:color w:val="222222"/>
                <w:sz w:val="24"/>
                <w:szCs w:val="24"/>
              </w:rPr>
              <w:t xml:space="preserve">a assistir aula em outras turmas ou saírem antes do término da aula (sem prejuízos de conteúdo), mas isso compromete a aprendizagem diante das </w:t>
            </w:r>
            <w:r>
              <w:rPr>
                <w:rFonts w:ascii="Arial" w:eastAsia="Arial" w:hAnsi="Arial" w:cs="Arial"/>
                <w:color w:val="222222"/>
                <w:sz w:val="24"/>
                <w:szCs w:val="24"/>
              </w:rPr>
              <w:lastRenderedPageBreak/>
              <w:t>especificidades da disciplina. Ademais, problemas com a infraestrutura da universidade foram apontados pelos alun</w:t>
            </w:r>
            <w:r>
              <w:rPr>
                <w:rFonts w:ascii="Arial" w:eastAsia="Arial" w:hAnsi="Arial" w:cs="Arial"/>
                <w:color w:val="222222"/>
                <w:sz w:val="24"/>
                <w:szCs w:val="24"/>
              </w:rPr>
              <w:t xml:space="preserve">os. </w:t>
            </w:r>
            <w:r>
              <w:rPr>
                <w:rFonts w:ascii="Arial" w:eastAsia="Arial" w:hAnsi="Arial" w:cs="Arial"/>
                <w:sz w:val="24"/>
                <w:szCs w:val="24"/>
              </w:rPr>
              <w:t>(Docente 2)</w:t>
            </w:r>
          </w:p>
          <w:p w:rsidR="00490D3B" w:rsidRDefault="00490D3B">
            <w:pPr>
              <w:spacing w:line="276" w:lineRule="auto"/>
              <w:ind w:left="1440"/>
              <w:jc w:val="both"/>
              <w:rPr>
                <w:rFonts w:ascii="Arial" w:eastAsia="Arial" w:hAnsi="Arial" w:cs="Arial"/>
                <w:color w:val="333333"/>
                <w:sz w:val="24"/>
                <w:szCs w:val="24"/>
                <w:highlight w:val="white"/>
              </w:rPr>
            </w:pPr>
          </w:p>
          <w:p w:rsidR="00490D3B" w:rsidRDefault="005E1FF8">
            <w:pPr>
              <w:spacing w:after="200" w:line="276" w:lineRule="auto"/>
              <w:ind w:left="1440"/>
              <w:jc w:val="both"/>
              <w:rPr>
                <w:rFonts w:ascii="Arial" w:eastAsia="Arial" w:hAnsi="Arial" w:cs="Arial"/>
                <w:sz w:val="24"/>
                <w:szCs w:val="24"/>
              </w:rPr>
            </w:pPr>
            <w:r>
              <w:rPr>
                <w:rFonts w:ascii="Arial" w:eastAsia="Arial" w:hAnsi="Arial" w:cs="Arial"/>
                <w:sz w:val="24"/>
                <w:szCs w:val="24"/>
              </w:rPr>
              <w:t>As disciplinas que ministrei não constam situações indicadas que efetivamente necessitam de alguma atenção imediata. Há poucos comentários; no entanto, um deles me chamou a atenção acerca da variedade de atividades que compõem a nota final</w:t>
            </w:r>
            <w:r>
              <w:rPr>
                <w:rFonts w:ascii="Arial" w:eastAsia="Arial" w:hAnsi="Arial" w:cs="Arial"/>
                <w:sz w:val="24"/>
                <w:szCs w:val="24"/>
              </w:rPr>
              <w:t xml:space="preserve"> dos estudantes. Me parece que essa estratégia pode contribuir para a aprendizagem, o que me encoraja em manter um número elevado de propostas avaliativas, o que, de certo modo, demanda muita dedicação de minha parte. Outro aspecto que não foi levantado pe</w:t>
            </w:r>
            <w:r>
              <w:rPr>
                <w:rFonts w:ascii="Arial" w:eastAsia="Arial" w:hAnsi="Arial" w:cs="Arial"/>
                <w:sz w:val="24"/>
                <w:szCs w:val="24"/>
              </w:rPr>
              <w:t xml:space="preserve">los estudantes, mas que trouxe muita dificuldade e atrapalhou processo das aulas refere-se aos problemas com os equipamentos de som e imagem nas salas. Isso vai desde as conexões que ficam jogadas/largadas depois do uso dos próprios docentes (que utilizam </w:t>
            </w:r>
            <w:r>
              <w:rPr>
                <w:rFonts w:ascii="Arial" w:eastAsia="Arial" w:hAnsi="Arial" w:cs="Arial"/>
                <w:sz w:val="24"/>
                <w:szCs w:val="24"/>
              </w:rPr>
              <w:t>seus notebooks pessoais) até a falta da conexão das caixas de som que estão mal instaladas (não há som nas caixas, por exemplo, usando sites muito conhecidos como o youtube). Ainda os meios de comunicação com a prefeitura para pedir socorro, em especial no</w:t>
            </w:r>
            <w:r>
              <w:rPr>
                <w:rFonts w:ascii="Arial" w:eastAsia="Arial" w:hAnsi="Arial" w:cs="Arial"/>
                <w:sz w:val="24"/>
                <w:szCs w:val="24"/>
              </w:rPr>
              <w:t xml:space="preserve"> período noturno, não existe. O número de whatsapp só é respondido depois de muito tempo. Um sistema muito falho. (Docente 3)</w:t>
            </w:r>
          </w:p>
          <w:p w:rsidR="00490D3B" w:rsidRDefault="005E1FF8">
            <w:pPr>
              <w:spacing w:after="200" w:line="276" w:lineRule="auto"/>
              <w:ind w:left="1440"/>
              <w:jc w:val="both"/>
              <w:rPr>
                <w:rFonts w:ascii="Arial" w:eastAsia="Arial" w:hAnsi="Arial" w:cs="Arial"/>
                <w:sz w:val="24"/>
                <w:szCs w:val="24"/>
              </w:rPr>
            </w:pPr>
            <w:r>
              <w:rPr>
                <w:rFonts w:ascii="Arial" w:eastAsia="Arial" w:hAnsi="Arial" w:cs="Arial"/>
                <w:sz w:val="24"/>
                <w:szCs w:val="24"/>
              </w:rPr>
              <w:t>Para as disciplinas que ministrei, a média das notas em cada questão foi sempre maior que 3, o que indica que os caminhos seguidos</w:t>
            </w:r>
            <w:r>
              <w:rPr>
                <w:rFonts w:ascii="Arial" w:eastAsia="Arial" w:hAnsi="Arial" w:cs="Arial"/>
                <w:sz w:val="24"/>
                <w:szCs w:val="24"/>
              </w:rPr>
              <w:t xml:space="preserve"> estão sendo produtivos e bem avaliados entre os alunos. Destaca-se um dos comentários de um dos alunos de Práticas de Ensino de Física II acerca da infraestrutura de laboratórios. O atual laboratório didático (401-3 e 403-3) não tem se mostrado adequado p</w:t>
            </w:r>
            <w:r>
              <w:rPr>
                <w:rFonts w:ascii="Arial" w:eastAsia="Arial" w:hAnsi="Arial" w:cs="Arial"/>
                <w:sz w:val="24"/>
                <w:szCs w:val="24"/>
              </w:rPr>
              <w:t>ara as turmas de Práticas de Ensino, pois, além de estarem literalmente abarrotados de materiais dos cursos de Licenciatura e de Bacharelado em Física, não possui mesas e cadeiras móveis, computadores ou até mesmo armários suficientes para acondicionar tod</w:t>
            </w:r>
            <w:r>
              <w:rPr>
                <w:rFonts w:ascii="Arial" w:eastAsia="Arial" w:hAnsi="Arial" w:cs="Arial"/>
                <w:sz w:val="24"/>
                <w:szCs w:val="24"/>
              </w:rPr>
              <w:t>os os materiais adquiridos pela Licenciatura. (Docente 4)</w:t>
            </w:r>
          </w:p>
          <w:p w:rsidR="00490D3B" w:rsidRDefault="005E1FF8">
            <w:pPr>
              <w:spacing w:before="240" w:after="240" w:line="276" w:lineRule="auto"/>
              <w:ind w:left="1440"/>
              <w:jc w:val="both"/>
              <w:rPr>
                <w:rFonts w:ascii="Arial" w:eastAsia="Arial" w:hAnsi="Arial" w:cs="Arial"/>
                <w:sz w:val="24"/>
                <w:szCs w:val="24"/>
              </w:rPr>
            </w:pPr>
            <w:r>
              <w:rPr>
                <w:rFonts w:ascii="Arial" w:eastAsia="Arial" w:hAnsi="Arial" w:cs="Arial"/>
                <w:sz w:val="24"/>
                <w:szCs w:val="24"/>
              </w:rPr>
              <w:t>Ministrei ambas as turmas, a da manhã e a da noite, no mesmo dia da semana, sexta-feira, com o mesmo plano de ensino (teoria e prática). Enquanto a turma do noturno era compreendida por alunos, em s</w:t>
            </w:r>
            <w:r>
              <w:rPr>
                <w:rFonts w:ascii="Arial" w:eastAsia="Arial" w:hAnsi="Arial" w:cs="Arial"/>
                <w:sz w:val="24"/>
                <w:szCs w:val="24"/>
              </w:rPr>
              <w:t>ua maioria, da licenciatura, o mesmo não acontecia na turma da manhã, onde apenas um aluno era da área de ensino. Percebia-se o enorme envolvimento dos alunos do noturno, que responderam à avaliação em sua maioria, sendo interessante que apesar da aula aco</w:t>
            </w:r>
            <w:r>
              <w:rPr>
                <w:rFonts w:ascii="Arial" w:eastAsia="Arial" w:hAnsi="Arial" w:cs="Arial"/>
                <w:sz w:val="24"/>
                <w:szCs w:val="24"/>
              </w:rPr>
              <w:t>ntecer na sexta-feira, era muito comum que não terminasse antes das 23h00, devido à enorme participação nos debates da teoria e da prática. Em contrapartida, na turma da manhã, com a mesma teoria e atividades no laboratório, o envolvimento era mínimo, como</w:t>
            </w:r>
            <w:r>
              <w:rPr>
                <w:rFonts w:ascii="Arial" w:eastAsia="Arial" w:hAnsi="Arial" w:cs="Arial"/>
                <w:sz w:val="24"/>
                <w:szCs w:val="24"/>
              </w:rPr>
              <w:t xml:space="preserve"> aqui também no caso da avaliação, onde apenas metade da turma respondeu às questões, com  notas baixas, ainda que tenha aparecido notas </w:t>
            </w:r>
            <w:r>
              <w:rPr>
                <w:rFonts w:ascii="Arial" w:eastAsia="Arial" w:hAnsi="Arial" w:cs="Arial"/>
                <w:sz w:val="24"/>
                <w:szCs w:val="24"/>
              </w:rPr>
              <w:lastRenderedPageBreak/>
              <w:t>A e B. (Docente 5)</w:t>
            </w:r>
          </w:p>
          <w:p w:rsidR="00490D3B" w:rsidRDefault="005E1FF8">
            <w:pPr>
              <w:spacing w:before="240" w:after="240" w:line="276" w:lineRule="auto"/>
              <w:ind w:left="1440"/>
              <w:jc w:val="both"/>
              <w:rPr>
                <w:rFonts w:ascii="Arial" w:eastAsia="Arial" w:hAnsi="Arial" w:cs="Arial"/>
                <w:sz w:val="24"/>
                <w:szCs w:val="24"/>
              </w:rPr>
            </w:pPr>
            <w:r>
              <w:rPr>
                <w:rFonts w:ascii="Arial" w:eastAsia="Arial" w:hAnsi="Arial" w:cs="Arial"/>
                <w:sz w:val="24"/>
                <w:szCs w:val="24"/>
              </w:rPr>
              <w:t>Foi a primeira vez que ministrei essa disciplina e tive ótimos resultados da participação dos alunos</w:t>
            </w:r>
            <w:r>
              <w:rPr>
                <w:rFonts w:ascii="Arial" w:eastAsia="Arial" w:hAnsi="Arial" w:cs="Arial"/>
                <w:sz w:val="24"/>
                <w:szCs w:val="24"/>
              </w:rPr>
              <w:t>, mas verifiquei que precisamos reavaliar a bibliografia, que está desatualizada em relação às tecnologias atualmente utilizadas. Isso apareceu nos comentários dos alunos ao final da disciplina, quando realizei uma avaliação geral. Mas vejo que a maioria d</w:t>
            </w:r>
            <w:r>
              <w:rPr>
                <w:rFonts w:ascii="Arial" w:eastAsia="Arial" w:hAnsi="Arial" w:cs="Arial"/>
                <w:sz w:val="24"/>
                <w:szCs w:val="24"/>
              </w:rPr>
              <w:t>os alunos avaliou como B as duas questões, Q1 e Q2, ainda que tenhamos conceitos abaixo desses. (Docente 5)</w:t>
            </w:r>
          </w:p>
          <w:p w:rsidR="00490D3B" w:rsidRDefault="005E1FF8">
            <w:pPr>
              <w:spacing w:line="276" w:lineRule="auto"/>
              <w:ind w:left="1440"/>
              <w:jc w:val="both"/>
            </w:pPr>
            <w:r>
              <w:rPr>
                <w:rFonts w:ascii="Arial" w:eastAsia="Arial" w:hAnsi="Arial" w:cs="Arial"/>
                <w:sz w:val="24"/>
                <w:szCs w:val="24"/>
              </w:rPr>
              <w:t xml:space="preserve">A ausência de comentários apresentados por parte dos discentes só me permite realizar uma reflexão pautada em análises quantitativas e, desse modo, </w:t>
            </w:r>
            <w:r>
              <w:rPr>
                <w:rFonts w:ascii="Arial" w:eastAsia="Arial" w:hAnsi="Arial" w:cs="Arial"/>
                <w:sz w:val="24"/>
                <w:szCs w:val="24"/>
              </w:rPr>
              <w:t>estando as médias atribuídas às disciplinas que ministrei (em todos os 8 quesitos avaliados) no intervalo de valores [3,0 e 4,0], concluo que os estudantes tanto tiveram um bom envolvimento e aproveitamento nessas disciplinas como também as avaliam de form</w:t>
            </w:r>
            <w:r>
              <w:rPr>
                <w:rFonts w:ascii="Arial" w:eastAsia="Arial" w:hAnsi="Arial" w:cs="Arial"/>
                <w:sz w:val="24"/>
                <w:szCs w:val="24"/>
              </w:rPr>
              <w:t xml:space="preserve">a bastante satisfatória. Destaco que a disciplina NHT3091-15 foi avaliada com média 4,0 em todos os quesitos, exceto em Q6 (cuja média foi 3,4). Contudo, ainda que positivos, esses resultados devem servir de mote para uma auto-reflexão sobre futuras ações </w:t>
            </w:r>
            <w:r>
              <w:rPr>
                <w:rFonts w:ascii="Arial" w:eastAsia="Arial" w:hAnsi="Arial" w:cs="Arial"/>
                <w:sz w:val="24"/>
                <w:szCs w:val="24"/>
              </w:rPr>
              <w:t>docentes no sentido de que elas contemplem também formas mais expressivas de avaliação ao longo de todo o processo de ensino e de aprendizagem e, assim, possam vir complementar análises desta natureza. (Docente 6)</w:t>
            </w:r>
          </w:p>
        </w:tc>
      </w:tr>
    </w:tbl>
    <w:p w:rsidR="00490D3B" w:rsidRDefault="00490D3B"/>
    <w:tbl>
      <w:tblPr>
        <w:tblStyle w:val="a5"/>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490D3B">
        <w:tc>
          <w:tcPr>
            <w:tcW w:w="10031" w:type="dxa"/>
          </w:tcPr>
          <w:p w:rsidR="00490D3B" w:rsidRDefault="005E1FF8">
            <w:pPr>
              <w:numPr>
                <w:ilvl w:val="0"/>
                <w:numId w:val="3"/>
              </w:numPr>
              <w:pBdr>
                <w:top w:val="nil"/>
                <w:left w:val="nil"/>
                <w:bottom w:val="nil"/>
                <w:right w:val="nil"/>
                <w:between w:val="nil"/>
              </w:pBdr>
              <w:spacing w:before="120" w:line="276" w:lineRule="auto"/>
              <w:ind w:left="714" w:hanging="357"/>
            </w:pPr>
            <w:r>
              <w:rPr>
                <w:color w:val="000000"/>
              </w:rPr>
              <w:t>Apontamentos e sugestões para os instrumentos de avaliação de disciplinas e cursos da UFABC</w:t>
            </w:r>
          </w:p>
          <w:p w:rsidR="00490D3B" w:rsidRDefault="00490D3B">
            <w:pPr>
              <w:pBdr>
                <w:top w:val="nil"/>
                <w:left w:val="nil"/>
                <w:bottom w:val="nil"/>
                <w:right w:val="nil"/>
                <w:between w:val="nil"/>
              </w:pBdr>
              <w:spacing w:line="276" w:lineRule="auto"/>
              <w:ind w:left="720"/>
              <w:rPr>
                <w:color w:val="000000"/>
              </w:rPr>
            </w:pPr>
          </w:p>
          <w:p w:rsidR="00490D3B" w:rsidRDefault="005E1FF8">
            <w:pPr>
              <w:pBdr>
                <w:top w:val="nil"/>
                <w:left w:val="nil"/>
                <w:bottom w:val="nil"/>
                <w:right w:val="nil"/>
                <w:between w:val="nil"/>
              </w:pBdr>
              <w:spacing w:after="200" w:line="276" w:lineRule="auto"/>
              <w:ind w:left="720"/>
              <w:rPr>
                <w:color w:val="000000"/>
              </w:rPr>
            </w:pPr>
            <w:r>
              <w:t>NDA</w:t>
            </w:r>
          </w:p>
        </w:tc>
      </w:tr>
    </w:tbl>
    <w:p w:rsidR="00490D3B" w:rsidRDefault="00490D3B"/>
    <w:tbl>
      <w:tblPr>
        <w:tblStyle w:val="a6"/>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5709"/>
      </w:tblGrid>
      <w:tr w:rsidR="00490D3B">
        <w:tc>
          <w:tcPr>
            <w:tcW w:w="4322" w:type="dxa"/>
          </w:tcPr>
          <w:p w:rsidR="00490D3B" w:rsidRDefault="005E1FF8">
            <w:pPr>
              <w:rPr>
                <w:b/>
              </w:rPr>
            </w:pPr>
            <w:r>
              <w:rPr>
                <w:b/>
              </w:rPr>
              <w:t>Elaboradores</w:t>
            </w:r>
          </w:p>
        </w:tc>
        <w:tc>
          <w:tcPr>
            <w:tcW w:w="5709" w:type="dxa"/>
          </w:tcPr>
          <w:p w:rsidR="00490D3B" w:rsidRDefault="005E1FF8">
            <w:pPr>
              <w:rPr>
                <w:b/>
              </w:rPr>
            </w:pPr>
            <w:r>
              <w:rPr>
                <w:b/>
              </w:rPr>
              <w:t>Cargo</w:t>
            </w:r>
          </w:p>
        </w:tc>
      </w:tr>
      <w:tr w:rsidR="00490D3B">
        <w:tc>
          <w:tcPr>
            <w:tcW w:w="4322" w:type="dxa"/>
          </w:tcPr>
          <w:p w:rsidR="00490D3B" w:rsidRDefault="005E1FF8">
            <w:r>
              <w:t>Graciella Watanabe</w:t>
            </w:r>
          </w:p>
        </w:tc>
        <w:tc>
          <w:tcPr>
            <w:tcW w:w="5709" w:type="dxa"/>
          </w:tcPr>
          <w:p w:rsidR="00490D3B" w:rsidRDefault="005E1FF8">
            <w:r>
              <w:t>vice coordenador</w:t>
            </w:r>
          </w:p>
        </w:tc>
      </w:tr>
      <w:tr w:rsidR="00490D3B">
        <w:tc>
          <w:tcPr>
            <w:tcW w:w="4322" w:type="dxa"/>
          </w:tcPr>
          <w:p w:rsidR="00490D3B" w:rsidRDefault="005E1FF8">
            <w:r>
              <w:t>Giselle Watanabe</w:t>
            </w:r>
          </w:p>
        </w:tc>
        <w:tc>
          <w:tcPr>
            <w:tcW w:w="5709" w:type="dxa"/>
          </w:tcPr>
          <w:p w:rsidR="00490D3B" w:rsidRDefault="005E1FF8">
            <w:r>
              <w:t>coordenador</w:t>
            </w:r>
          </w:p>
        </w:tc>
      </w:tr>
      <w:tr w:rsidR="00490D3B">
        <w:tc>
          <w:tcPr>
            <w:tcW w:w="4322" w:type="dxa"/>
          </w:tcPr>
          <w:p w:rsidR="00490D3B" w:rsidRDefault="005E1FF8">
            <w:r>
              <w:t>Coordenação da Lic Fis</w:t>
            </w:r>
          </w:p>
        </w:tc>
        <w:tc>
          <w:tcPr>
            <w:tcW w:w="5709" w:type="dxa"/>
          </w:tcPr>
          <w:p w:rsidR="00490D3B" w:rsidRDefault="005E1FF8">
            <w:pPr>
              <w:spacing w:after="120"/>
              <w:jc w:val="both"/>
            </w:pPr>
            <w:r>
              <w:rPr>
                <w:rFonts w:ascii="Times New Roman" w:eastAsia="Times New Roman" w:hAnsi="Times New Roman" w:cs="Times New Roman"/>
                <w:sz w:val="24"/>
                <w:szCs w:val="24"/>
              </w:rPr>
              <w:t>Relatório aprovado na 2ª reunião de 2020 da Coordenação do curso de Licenciatura em Física, realizada no dia 15 de abril, às 14h00, no espaço virtual GSuite cedido pela Universidade Federal do ABC.</w:t>
            </w:r>
          </w:p>
        </w:tc>
      </w:tr>
      <w:tr w:rsidR="00490D3B">
        <w:tc>
          <w:tcPr>
            <w:tcW w:w="4322" w:type="dxa"/>
          </w:tcPr>
          <w:p w:rsidR="00490D3B" w:rsidRDefault="00490D3B"/>
        </w:tc>
        <w:tc>
          <w:tcPr>
            <w:tcW w:w="5709" w:type="dxa"/>
          </w:tcPr>
          <w:p w:rsidR="00490D3B" w:rsidRDefault="00490D3B"/>
        </w:tc>
      </w:tr>
    </w:tbl>
    <w:p w:rsidR="00490D3B" w:rsidRDefault="00490D3B"/>
    <w:tbl>
      <w:tblPr>
        <w:tblStyle w:val="a7"/>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670"/>
      </w:tblGrid>
      <w:tr w:rsidR="00490D3B">
        <w:tc>
          <w:tcPr>
            <w:tcW w:w="4361" w:type="dxa"/>
          </w:tcPr>
          <w:p w:rsidR="00490D3B" w:rsidRDefault="005E1FF8">
            <w:pPr>
              <w:rPr>
                <w:b/>
              </w:rPr>
            </w:pPr>
            <w:r>
              <w:rPr>
                <w:b/>
              </w:rPr>
              <w:t>Local</w:t>
            </w:r>
          </w:p>
        </w:tc>
        <w:tc>
          <w:tcPr>
            <w:tcW w:w="5670" w:type="dxa"/>
          </w:tcPr>
          <w:p w:rsidR="00490D3B" w:rsidRDefault="005E1FF8">
            <w:pPr>
              <w:rPr>
                <w:b/>
              </w:rPr>
            </w:pPr>
            <w:r>
              <w:rPr>
                <w:b/>
              </w:rPr>
              <w:t>Data</w:t>
            </w:r>
          </w:p>
        </w:tc>
      </w:tr>
      <w:tr w:rsidR="00490D3B">
        <w:tc>
          <w:tcPr>
            <w:tcW w:w="4361" w:type="dxa"/>
          </w:tcPr>
          <w:p w:rsidR="00490D3B" w:rsidRDefault="005E1FF8">
            <w:r>
              <w:t>Santo André</w:t>
            </w:r>
          </w:p>
        </w:tc>
        <w:tc>
          <w:tcPr>
            <w:tcW w:w="5670" w:type="dxa"/>
          </w:tcPr>
          <w:p w:rsidR="00490D3B" w:rsidRDefault="005E1FF8">
            <w:r>
              <w:t>18/11/2020</w:t>
            </w:r>
          </w:p>
        </w:tc>
      </w:tr>
    </w:tbl>
    <w:p w:rsidR="00490D3B" w:rsidRDefault="00490D3B"/>
    <w:sectPr w:rsidR="00490D3B">
      <w:headerReference w:type="default" r:id="rId41"/>
      <w:footerReference w:type="default" r:id="rId42"/>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F8" w:rsidRDefault="005E1FF8">
      <w:pPr>
        <w:spacing w:after="0" w:line="240" w:lineRule="auto"/>
      </w:pPr>
      <w:r>
        <w:separator/>
      </w:r>
    </w:p>
  </w:endnote>
  <w:endnote w:type="continuationSeparator" w:id="0">
    <w:p w:rsidR="005E1FF8" w:rsidRDefault="005E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3B" w:rsidRDefault="005E1FF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AD4CA0">
      <w:rPr>
        <w:color w:val="000000"/>
      </w:rPr>
      <w:fldChar w:fldCharType="separate"/>
    </w:r>
    <w:r w:rsidR="00AD4CA0">
      <w:rPr>
        <w:noProof/>
        <w:color w:val="000000"/>
      </w:rPr>
      <w:t>2</w:t>
    </w:r>
    <w:r>
      <w:rPr>
        <w:color w:val="000000"/>
      </w:rPr>
      <w:fldChar w:fldCharType="end"/>
    </w:r>
  </w:p>
  <w:p w:rsidR="00490D3B" w:rsidRDefault="00490D3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F8" w:rsidRDefault="005E1FF8">
      <w:pPr>
        <w:spacing w:after="0" w:line="240" w:lineRule="auto"/>
      </w:pPr>
      <w:r>
        <w:separator/>
      </w:r>
    </w:p>
  </w:footnote>
  <w:footnote w:type="continuationSeparator" w:id="0">
    <w:p w:rsidR="005E1FF8" w:rsidRDefault="005E1FF8">
      <w:pPr>
        <w:spacing w:after="0" w:line="240" w:lineRule="auto"/>
      </w:pPr>
      <w:r>
        <w:continuationSeparator/>
      </w:r>
    </w:p>
  </w:footnote>
  <w:footnote w:id="1">
    <w:p w:rsidR="00490D3B" w:rsidRDefault="005E1FF8">
      <w:pPr>
        <w:spacing w:after="0" w:line="240" w:lineRule="auto"/>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Item inserido na pauta de reunião da coordenação e do NDE do dia 15/04/2020.</w:t>
      </w:r>
    </w:p>
  </w:footnote>
  <w:footnote w:id="2">
    <w:p w:rsidR="00490D3B" w:rsidRDefault="005E1FF8">
      <w:pPr>
        <w:spacing w:after="0" w:line="240" w:lineRule="auto"/>
        <w:jc w:val="both"/>
        <w:rPr>
          <w:rFonts w:ascii="Helvetica Neue" w:eastAsia="Helvetica Neue" w:hAnsi="Helvetica Neue" w:cs="Helvetica Neue"/>
        </w:rPr>
      </w:pPr>
      <w:r>
        <w:rPr>
          <w:vertAlign w:val="superscript"/>
        </w:rPr>
        <w:footnoteRef/>
      </w:r>
      <w:r>
        <w:rPr>
          <w:rFonts w:ascii="Helvetica Neue" w:eastAsia="Helvetica Neue" w:hAnsi="Helvetica Neue" w:cs="Helvetica Neue"/>
          <w:sz w:val="20"/>
          <w:szCs w:val="20"/>
        </w:rPr>
        <w:t xml:space="preserve"> Q1) Avalie o conteúdo ministrado, considerando adequação ao plano de ensino proposto e aos objetivos especificados na ementa da disciplina. Q2) Avalie a didática e os métodos do docente para o aprendizado dos conteúdos da disciplina (Exemplos: aulas expos</w:t>
      </w:r>
      <w:r>
        <w:rPr>
          <w:rFonts w:ascii="Helvetica Neue" w:eastAsia="Helvetica Neue" w:hAnsi="Helvetica Neue" w:cs="Helvetica Neue"/>
          <w:sz w:val="20"/>
          <w:szCs w:val="20"/>
        </w:rPr>
        <w:t>itivas, aulas práticas, exercícios, leituras, trabalho em grupo etc.</w:t>
      </w:r>
      <w:proofErr w:type="gramStart"/>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Q7) Avalie sua postura acadêmica durante as aulas (Exemplo: pontualidade, assiduidade, participação, atenção, permanência em sala, uso indevido de aparelhos eletrônicos).</w:t>
      </w:r>
    </w:p>
  </w:footnote>
  <w:footnote w:id="3">
    <w:p w:rsidR="00490D3B" w:rsidRDefault="005E1FF8">
      <w:pPr>
        <w:spacing w:after="0" w:line="240" w:lineRule="auto"/>
        <w:jc w:val="both"/>
        <w:rPr>
          <w:rFonts w:ascii="Helvetica Neue" w:eastAsia="Helvetica Neue" w:hAnsi="Helvetica Neue" w:cs="Helvetica Neue"/>
        </w:rPr>
      </w:pPr>
      <w:r>
        <w:rPr>
          <w:vertAlign w:val="superscript"/>
        </w:rPr>
        <w:footnoteRef/>
      </w:r>
      <w:r>
        <w:rPr>
          <w:rFonts w:ascii="Helvetica Neue" w:eastAsia="Helvetica Neue" w:hAnsi="Helvetica Neue" w:cs="Helvetica Neue"/>
          <w:sz w:val="20"/>
          <w:szCs w:val="20"/>
        </w:rPr>
        <w:t xml:space="preserve"> Q1) Avalie o </w:t>
      </w:r>
      <w:r>
        <w:rPr>
          <w:rFonts w:ascii="Helvetica Neue" w:eastAsia="Helvetica Neue" w:hAnsi="Helvetica Neue" w:cs="Helvetica Neue"/>
          <w:sz w:val="20"/>
          <w:szCs w:val="20"/>
        </w:rPr>
        <w:t xml:space="preserve">conteúdo ministrado, considerando adequação ao plano de ensino proposto e aos objetivos especificados na ementa da disciplina. Q2) Avalie a didática e os métodos do docente para o aprendizado dos conteúdos da disciplina (Exemplos: aulas expositivas, aulas </w:t>
      </w:r>
      <w:r>
        <w:rPr>
          <w:rFonts w:ascii="Helvetica Neue" w:eastAsia="Helvetica Neue" w:hAnsi="Helvetica Neue" w:cs="Helvetica Neue"/>
          <w:sz w:val="20"/>
          <w:szCs w:val="20"/>
        </w:rPr>
        <w:t>práticas, exercícios, leituras, trabalho em grupo etc.</w:t>
      </w:r>
      <w:proofErr w:type="gramStart"/>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Q7) Avalie sua postura acadêmica durante as aulas (Exemplo: pontualidade, assiduidade, participação, atenção, permanência em sala, uso indevido de aparelhos eletrônicos).</w:t>
      </w:r>
    </w:p>
  </w:footnote>
  <w:footnote w:id="4">
    <w:p w:rsidR="00490D3B" w:rsidRDefault="005E1FF8">
      <w:pPr>
        <w:spacing w:after="0" w:line="240" w:lineRule="auto"/>
        <w:jc w:val="both"/>
        <w:rPr>
          <w:rFonts w:ascii="Helvetica Neue" w:eastAsia="Helvetica Neue" w:hAnsi="Helvetica Neue" w:cs="Helvetica Neue"/>
        </w:rPr>
      </w:pPr>
      <w:r>
        <w:rPr>
          <w:vertAlign w:val="superscript"/>
        </w:rPr>
        <w:footnoteRef/>
      </w:r>
      <w:r>
        <w:rPr>
          <w:rFonts w:ascii="Helvetica Neue" w:eastAsia="Helvetica Neue" w:hAnsi="Helvetica Neue" w:cs="Helvetica Neue"/>
          <w:sz w:val="20"/>
          <w:szCs w:val="20"/>
        </w:rPr>
        <w:t xml:space="preserve"> Q1) Avalie o conteúdo minis</w:t>
      </w:r>
      <w:r>
        <w:rPr>
          <w:rFonts w:ascii="Helvetica Neue" w:eastAsia="Helvetica Neue" w:hAnsi="Helvetica Neue" w:cs="Helvetica Neue"/>
          <w:sz w:val="20"/>
          <w:szCs w:val="20"/>
        </w:rPr>
        <w:t>trado, considerando adequação ao plano de ensino proposto e aos objetivos especificados na ementa da disciplina. Q2) Avalie a didática e os métodos do docente para o aprendizado dos conteúdos da disciplina (Exemplos: aulas expositivas, aulas práticas, exer</w:t>
      </w:r>
      <w:r>
        <w:rPr>
          <w:rFonts w:ascii="Helvetica Neue" w:eastAsia="Helvetica Neue" w:hAnsi="Helvetica Neue" w:cs="Helvetica Neue"/>
          <w:sz w:val="20"/>
          <w:szCs w:val="20"/>
        </w:rPr>
        <w:t>cícios, leituras, trabalho em grupo etc.</w:t>
      </w:r>
      <w:proofErr w:type="gramStart"/>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Q7) Avalie sua postura acadêmica durante as aulas (Exemplo: pontualidade, assiduidade, participação, atenção, permanência em sala, uso indevido de aparelhos eletrônicos).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3B" w:rsidRDefault="005E1FF8">
    <w:pPr>
      <w:spacing w:after="0" w:line="240" w:lineRule="auto"/>
      <w:ind w:left="1985"/>
      <w:rPr>
        <w:rFonts w:ascii="Times New Roman" w:eastAsia="Times New Roman" w:hAnsi="Times New Roman" w:cs="Times New Roman"/>
        <w:b/>
      </w:rPr>
    </w:pPr>
    <w:r>
      <w:rPr>
        <w:rFonts w:ascii="Times New Roman" w:eastAsia="Times New Roman" w:hAnsi="Times New Roman" w:cs="Times New Roman"/>
        <w:b/>
      </w:rPr>
      <w:t>MINISTÉRIO DA EDUCAÇÃO</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5715</wp:posOffset>
          </wp:positionV>
          <wp:extent cx="907415" cy="971550"/>
          <wp:effectExtent l="0" t="0" r="0" b="0"/>
          <wp:wrapSquare wrapText="right" distT="0" distB="0" distL="114300" distR="114300"/>
          <wp:docPr id="19" name="image33.png" descr="brasão.gif"/>
          <wp:cNvGraphicFramePr/>
          <a:graphic xmlns:a="http://schemas.openxmlformats.org/drawingml/2006/main">
            <a:graphicData uri="http://schemas.openxmlformats.org/drawingml/2006/picture">
              <pic:pic xmlns:pic="http://schemas.openxmlformats.org/drawingml/2006/picture">
                <pic:nvPicPr>
                  <pic:cNvPr id="0" name="image33.png" descr="brasão.gif"/>
                  <pic:cNvPicPr preferRelativeResize="0"/>
                </pic:nvPicPr>
                <pic:blipFill>
                  <a:blip r:embed="rId1"/>
                  <a:srcRect/>
                  <a:stretch>
                    <a:fillRect/>
                  </a:stretch>
                </pic:blipFill>
                <pic:spPr>
                  <a:xfrm>
                    <a:off x="0" y="0"/>
                    <a:ext cx="907415" cy="971550"/>
                  </a:xfrm>
                  <a:prstGeom prst="rect">
                    <a:avLst/>
                  </a:prstGeom>
                  <a:ln/>
                </pic:spPr>
              </pic:pic>
            </a:graphicData>
          </a:graphic>
        </wp:anchor>
      </w:drawing>
    </w:r>
  </w:p>
  <w:p w:rsidR="00490D3B" w:rsidRDefault="005E1FF8">
    <w:pPr>
      <w:spacing w:after="0" w:line="240" w:lineRule="auto"/>
      <w:ind w:left="1985"/>
      <w:rPr>
        <w:rFonts w:ascii="Times New Roman" w:eastAsia="Times New Roman" w:hAnsi="Times New Roman" w:cs="Times New Roman"/>
        <w:b/>
      </w:rPr>
    </w:pPr>
    <w:r>
      <w:rPr>
        <w:rFonts w:ascii="Times New Roman" w:eastAsia="Times New Roman" w:hAnsi="Times New Roman" w:cs="Times New Roman"/>
        <w:b/>
      </w:rPr>
      <w:t>Fundação Universidade Federal do ABC</w:t>
    </w:r>
  </w:p>
  <w:p w:rsidR="00490D3B" w:rsidRDefault="005E1FF8">
    <w:pPr>
      <w:spacing w:after="0" w:line="240" w:lineRule="auto"/>
      <w:ind w:left="1985"/>
      <w:rPr>
        <w:rFonts w:ascii="Times New Roman" w:eastAsia="Times New Roman" w:hAnsi="Times New Roman" w:cs="Times New Roman"/>
        <w:b/>
      </w:rPr>
    </w:pPr>
    <w:proofErr w:type="spellStart"/>
    <w:r>
      <w:rPr>
        <w:rFonts w:ascii="Times New Roman" w:eastAsia="Times New Roman" w:hAnsi="Times New Roman" w:cs="Times New Roman"/>
        <w:b/>
      </w:rPr>
      <w:t>Pró-Reitoria</w:t>
    </w:r>
    <w:proofErr w:type="spellEnd"/>
    <w:r>
      <w:rPr>
        <w:rFonts w:ascii="Times New Roman" w:eastAsia="Times New Roman" w:hAnsi="Times New Roman" w:cs="Times New Roman"/>
        <w:b/>
      </w:rPr>
      <w:t xml:space="preserve"> de Graduação</w:t>
    </w:r>
  </w:p>
  <w:p w:rsidR="00490D3B" w:rsidRDefault="005E1FF8">
    <w:pPr>
      <w:pBdr>
        <w:top w:val="nil"/>
        <w:left w:val="nil"/>
        <w:bottom w:val="nil"/>
        <w:right w:val="nil"/>
        <w:between w:val="nil"/>
      </w:pBdr>
      <w:tabs>
        <w:tab w:val="center" w:pos="4252"/>
        <w:tab w:val="right" w:pos="8504"/>
      </w:tabs>
      <w:spacing w:after="0" w:line="240" w:lineRule="auto"/>
      <w:ind w:left="1985"/>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Av.</w:t>
    </w:r>
    <w:proofErr w:type="gramEnd"/>
    <w:r>
      <w:rPr>
        <w:rFonts w:ascii="Times New Roman" w:eastAsia="Times New Roman" w:hAnsi="Times New Roman" w:cs="Times New Roman"/>
        <w:color w:val="000000"/>
        <w:sz w:val="20"/>
        <w:szCs w:val="20"/>
      </w:rPr>
      <w:t xml:space="preserve"> dos Estados, 5001 · Bairro Santa Terezinha · Santo André – SP</w:t>
    </w:r>
  </w:p>
  <w:p w:rsidR="00490D3B" w:rsidRDefault="005E1FF8">
    <w:pPr>
      <w:pBdr>
        <w:top w:val="nil"/>
        <w:left w:val="nil"/>
        <w:bottom w:val="nil"/>
        <w:right w:val="nil"/>
        <w:between w:val="nil"/>
      </w:pBdr>
      <w:tabs>
        <w:tab w:val="center" w:pos="4252"/>
        <w:tab w:val="right" w:pos="8504"/>
      </w:tabs>
      <w:spacing w:after="0" w:line="240" w:lineRule="auto"/>
      <w:ind w:left="19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CEP 09210-580 · Fone: (11) 4996.7983</w:t>
    </w:r>
  </w:p>
  <w:p w:rsidR="00490D3B" w:rsidRDefault="005E1FF8">
    <w:pPr>
      <w:pBdr>
        <w:top w:val="nil"/>
        <w:left w:val="nil"/>
        <w:bottom w:val="nil"/>
        <w:right w:val="nil"/>
        <w:between w:val="nil"/>
      </w:pBdr>
      <w:tabs>
        <w:tab w:val="center" w:pos="4252"/>
        <w:tab w:val="right" w:pos="8504"/>
      </w:tabs>
      <w:spacing w:after="0" w:line="240" w:lineRule="auto"/>
      <w:ind w:left="19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gabinete.prograd@ufabc.edu.br</w:t>
    </w:r>
  </w:p>
  <w:p w:rsidR="00490D3B" w:rsidRDefault="00490D3B">
    <w:pPr>
      <w:pBdr>
        <w:top w:val="nil"/>
        <w:left w:val="nil"/>
        <w:bottom w:val="nil"/>
        <w:right w:val="nil"/>
        <w:between w:val="nil"/>
      </w:pBdr>
      <w:tabs>
        <w:tab w:val="center" w:pos="4252"/>
        <w:tab w:val="right" w:pos="8504"/>
      </w:tabs>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73A10"/>
    <w:multiLevelType w:val="multilevel"/>
    <w:tmpl w:val="56C076F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3B957A65"/>
    <w:multiLevelType w:val="multilevel"/>
    <w:tmpl w:val="98E2C0A2"/>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2">
    <w:nsid w:val="402213A3"/>
    <w:multiLevelType w:val="multilevel"/>
    <w:tmpl w:val="20A81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90D3B"/>
    <w:rsid w:val="00490D3B"/>
    <w:rsid w:val="005E1FF8"/>
    <w:rsid w:val="00AD4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uiPriority w:val="59"/>
    <w:rsid w:val="009E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semiHidden/>
    <w:unhideWhenUsed/>
    <w:rsid w:val="00031BCE"/>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uiPriority w:val="59"/>
    <w:rsid w:val="009E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semiHidden/>
    <w:unhideWhenUsed/>
    <w:rsid w:val="00031BCE"/>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jckrIb0iFY0aI2FP7bLPo9LBdA==">AMUW2mXNELejnVXYkFG+UcO1kx9UK/PQd0X0MbR3gEwZYHR66SJEtt8YsxC46ItorJ9EClqKazt02Te0BQy0Ee+S+nsCW5VcVoiQGAx+7vPAQDDFTFrNJNaCmfFxxgxQh4DcGoypTrAH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4414</Words>
  <Characters>23840</Characters>
  <Application>Microsoft Office Word</Application>
  <DocSecurity>0</DocSecurity>
  <Lines>198</Lines>
  <Paragraphs>56</Paragraphs>
  <ScaleCrop>false</ScaleCrop>
  <Company>Hewlett-Packard Company</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adriana.luz</dc:creator>
  <cp:lastModifiedBy>Ana Maria de Oliveira</cp:lastModifiedBy>
  <cp:revision>2</cp:revision>
  <dcterms:created xsi:type="dcterms:W3CDTF">2021-05-30T15:45:00Z</dcterms:created>
  <dcterms:modified xsi:type="dcterms:W3CDTF">2021-05-30T15:45:00Z</dcterms:modified>
</cp:coreProperties>
</file>